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A931" w14:textId="77777777" w:rsidR="00D6758B" w:rsidRDefault="00D6758B" w:rsidP="004D54CC">
      <w:pPr>
        <w:spacing w:after="0" w:line="240" w:lineRule="auto"/>
        <w:jc w:val="center"/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</w:pPr>
    </w:p>
    <w:p w14:paraId="7DA5D3C9" w14:textId="77777777" w:rsidR="00D6758B" w:rsidRDefault="00D6758B" w:rsidP="004D54CC">
      <w:pPr>
        <w:spacing w:after="0" w:line="240" w:lineRule="auto"/>
        <w:jc w:val="center"/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</w:pPr>
    </w:p>
    <w:p w14:paraId="4751AF86" w14:textId="2243FBD7" w:rsidR="004D54CC" w:rsidRPr="00C36930" w:rsidRDefault="004D54CC" w:rsidP="004D54CC">
      <w:pPr>
        <w:spacing w:after="0" w:line="240" w:lineRule="auto"/>
        <w:jc w:val="center"/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  <w:lang w:val="es-CL"/>
        </w:rPr>
      </w:pP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ANEXO D.</w:t>
      </w:r>
      <w:r w:rsidRPr="00C36930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  <w:lang w:val="es-CL"/>
        </w:rPr>
        <w:t xml:space="preserve"> Descripción general </w:t>
      </w:r>
      <w:proofErr w:type="gramStart"/>
      <w:r w:rsidR="00DF7314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  <w:lang w:val="es-CL"/>
        </w:rPr>
        <w:t xml:space="preserve">INHUB </w:t>
      </w:r>
      <w:r w:rsidRPr="00C36930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  <w:lang w:val="es-CL"/>
        </w:rPr>
        <w:t xml:space="preserve"> y</w:t>
      </w:r>
      <w:proofErr w:type="gramEnd"/>
      <w:r w:rsidRPr="00C36930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  <w:lang w:val="es-CL"/>
        </w:rPr>
        <w:t xml:space="preserve"> responsabilidades de ejecutor y del Instituto Nacional de la Juventud en el proyecto</w:t>
      </w:r>
    </w:p>
    <w:p w14:paraId="23C786D7" w14:textId="77777777" w:rsidR="004D54CC" w:rsidRPr="00C36930" w:rsidRDefault="004D54CC" w:rsidP="004D54CC">
      <w:pPr>
        <w:spacing w:after="0" w:line="240" w:lineRule="auto"/>
        <w:jc w:val="center"/>
        <w:rPr>
          <w:rFonts w:asciiTheme="majorHAnsi" w:eastAsiaTheme="majorEastAsia" w:hAnsiTheme="majorHAnsi" w:cstheme="majorHAnsi"/>
          <w:color w:val="2F5496" w:themeColor="accent1" w:themeShade="BF"/>
          <w:lang w:val="es-CL"/>
        </w:rPr>
      </w:pPr>
    </w:p>
    <w:p w14:paraId="5EC72645" w14:textId="77777777" w:rsidR="00DF7314" w:rsidRPr="00DF7314" w:rsidRDefault="00DF7314" w:rsidP="00DF7314">
      <w:pPr>
        <w:rPr>
          <w:b/>
        </w:rPr>
      </w:pPr>
      <w:proofErr w:type="spellStart"/>
      <w:r w:rsidRPr="00DF7314">
        <w:rPr>
          <w:rFonts w:ascii="Calibri" w:eastAsia="Calibri" w:hAnsi="Calibri" w:cs="Calibri"/>
          <w:b/>
        </w:rPr>
        <w:t>Estrategia</w:t>
      </w:r>
      <w:proofErr w:type="spellEnd"/>
      <w:r w:rsidRPr="00DF7314">
        <w:rPr>
          <w:rFonts w:ascii="Calibri" w:eastAsia="Calibri" w:hAnsi="Calibri" w:cs="Calibri"/>
          <w:b/>
        </w:rPr>
        <w:t xml:space="preserve"> </w:t>
      </w:r>
      <w:proofErr w:type="spellStart"/>
      <w:r w:rsidRPr="00DF7314">
        <w:rPr>
          <w:rFonts w:ascii="Calibri" w:eastAsia="Calibri" w:hAnsi="Calibri" w:cs="Calibri"/>
          <w:b/>
        </w:rPr>
        <w:t>operativa</w:t>
      </w:r>
      <w:proofErr w:type="spellEnd"/>
      <w:r w:rsidRPr="00DF7314">
        <w:rPr>
          <w:rFonts w:ascii="Calibri" w:eastAsia="Calibri" w:hAnsi="Calibri" w:cs="Calibri"/>
          <w:b/>
        </w:rPr>
        <w:t xml:space="preserve"> y </w:t>
      </w:r>
      <w:proofErr w:type="spellStart"/>
      <w:r w:rsidRPr="00DF7314">
        <w:rPr>
          <w:rFonts w:ascii="Calibri" w:eastAsia="Calibri" w:hAnsi="Calibri" w:cs="Calibri"/>
          <w:b/>
        </w:rPr>
        <w:t>programática</w:t>
      </w:r>
      <w:proofErr w:type="spellEnd"/>
      <w:r w:rsidRPr="00DF7314">
        <w:rPr>
          <w:rFonts w:ascii="Calibri" w:eastAsia="Calibri" w:hAnsi="Calibri" w:cs="Calibri"/>
          <w:b/>
        </w:rPr>
        <w:t xml:space="preserve">. </w:t>
      </w:r>
    </w:p>
    <w:p w14:paraId="7BFC6243" w14:textId="04B35619" w:rsidR="00DF7314" w:rsidRDefault="00DF7314" w:rsidP="00DF73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continuación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entregan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detalles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estrategia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metodológica</w:t>
      </w:r>
      <w:proofErr w:type="spellEnd"/>
      <w:r>
        <w:rPr>
          <w:rFonts w:ascii="Calibri" w:eastAsia="Calibri" w:hAnsi="Calibri" w:cs="Calibri"/>
        </w:rPr>
        <w:t xml:space="preserve"> de los</w:t>
      </w:r>
      <w:r w:rsidR="00AB5088"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componentes</w:t>
      </w:r>
      <w:proofErr w:type="spellEnd"/>
      <w:r>
        <w:rPr>
          <w:rFonts w:ascii="Calibri" w:eastAsia="Calibri" w:hAnsi="Calibri" w:cs="Calibri"/>
        </w:rPr>
        <w:t xml:space="preserve"> </w:t>
      </w:r>
      <w:r w:rsidR="00AB5088">
        <w:rPr>
          <w:rFonts w:ascii="Calibri" w:eastAsia="Calibri" w:hAnsi="Calibri" w:cs="Calibri"/>
        </w:rPr>
        <w:t xml:space="preserve"> de</w:t>
      </w:r>
      <w:proofErr w:type="gramEnd"/>
      <w:r w:rsidR="00AB5088">
        <w:rPr>
          <w:rFonts w:ascii="Calibri" w:eastAsia="Calibri" w:hAnsi="Calibri" w:cs="Calibri"/>
        </w:rPr>
        <w:t xml:space="preserve"> la </w:t>
      </w:r>
      <w:proofErr w:type="spellStart"/>
      <w:r w:rsidR="00AB5088">
        <w:rPr>
          <w:rFonts w:ascii="Calibri" w:eastAsia="Calibri" w:hAnsi="Calibri" w:cs="Calibri"/>
        </w:rPr>
        <w:t>iniciativa</w:t>
      </w:r>
      <w:proofErr w:type="spellEnd"/>
      <w:r w:rsidR="00AB5088">
        <w:rPr>
          <w:rFonts w:ascii="Calibri" w:eastAsia="Calibri" w:hAnsi="Calibri" w:cs="Calibri"/>
        </w:rPr>
        <w:t xml:space="preserve"> INHUB </w:t>
      </w:r>
      <w:proofErr w:type="spellStart"/>
      <w:r>
        <w:rPr>
          <w:rFonts w:ascii="Calibri" w:eastAsia="Calibri" w:hAnsi="Calibri" w:cs="Calibri"/>
        </w:rPr>
        <w:t>comprendidos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presente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concurso</w:t>
      </w:r>
      <w:proofErr w:type="spellEnd"/>
      <w:r>
        <w:rPr>
          <w:rFonts w:ascii="Calibri" w:eastAsia="Calibri" w:hAnsi="Calibri" w:cs="Calibri"/>
        </w:rPr>
        <w:t xml:space="preserve"> con la </w:t>
      </w:r>
      <w:proofErr w:type="spellStart"/>
      <w:r>
        <w:rPr>
          <w:rFonts w:ascii="Calibri" w:eastAsia="Calibri" w:hAnsi="Calibri" w:cs="Calibri"/>
        </w:rPr>
        <w:t>iniciativa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F13382">
        <w:rPr>
          <w:rFonts w:ascii="Calibri" w:eastAsia="Calibri" w:hAnsi="Calibri" w:cs="Calibri"/>
          <w:b/>
          <w:color w:val="0070C0"/>
          <w:u w:val="single"/>
        </w:rPr>
        <w:t>INHub</w:t>
      </w:r>
      <w:proofErr w:type="spellEnd"/>
      <w:r w:rsidRPr="4B2B7C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deberan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incorporados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propuesta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AB5088">
        <w:rPr>
          <w:rFonts w:ascii="Calibri" w:eastAsia="Calibri" w:hAnsi="Calibri" w:cs="Calibri"/>
        </w:rPr>
        <w:t>postulante</w:t>
      </w:r>
      <w:proofErr w:type="spellEnd"/>
      <w:r w:rsidR="00AB5088">
        <w:rPr>
          <w:rFonts w:ascii="Calibri" w:eastAsia="Calibri" w:hAnsi="Calibri" w:cs="Calibri"/>
        </w:rPr>
        <w:t xml:space="preserve"> </w:t>
      </w:r>
      <w:proofErr w:type="spellStart"/>
      <w:r w:rsidR="00AB5088">
        <w:rPr>
          <w:rFonts w:ascii="Calibri" w:eastAsia="Calibri" w:hAnsi="Calibri" w:cs="Calibri"/>
        </w:rPr>
        <w:t>realice</w:t>
      </w:r>
      <w:proofErr w:type="spellEnd"/>
      <w:r w:rsidR="00AB5088">
        <w:rPr>
          <w:rFonts w:ascii="Calibri" w:eastAsia="Calibri" w:hAnsi="Calibri" w:cs="Calibri"/>
        </w:rPr>
        <w:t>:</w:t>
      </w:r>
      <w:r w:rsidRPr="4B2B7C85">
        <w:rPr>
          <w:rFonts w:ascii="Calibri" w:eastAsia="Calibri" w:hAnsi="Calibri" w:cs="Calibri"/>
        </w:rPr>
        <w:t xml:space="preserve"> </w:t>
      </w:r>
    </w:p>
    <w:p w14:paraId="1C52A3B8" w14:textId="77777777" w:rsidR="00DF7314" w:rsidRPr="00F13382" w:rsidRDefault="00DF7314" w:rsidP="00DF7314">
      <w:pPr>
        <w:jc w:val="both"/>
      </w:pPr>
      <w:proofErr w:type="spellStart"/>
      <w:r w:rsidRPr="00F13382">
        <w:rPr>
          <w:b/>
        </w:rPr>
        <w:t>Componente</w:t>
      </w:r>
      <w:proofErr w:type="spellEnd"/>
      <w:r w:rsidRPr="00F13382">
        <w:rPr>
          <w:b/>
        </w:rPr>
        <w:t xml:space="preserve"> 1</w:t>
      </w:r>
      <w:r w:rsidRPr="00F13382">
        <w:t xml:space="preserve">. </w:t>
      </w:r>
      <w:proofErr w:type="spellStart"/>
      <w:r w:rsidRPr="00F13382">
        <w:t>Programa</w:t>
      </w:r>
      <w:proofErr w:type="spellEnd"/>
      <w:r w:rsidRPr="00F13382">
        <w:t xml:space="preserve"> </w:t>
      </w:r>
      <w:r w:rsidRPr="00F13382">
        <w:rPr>
          <w:b/>
        </w:rPr>
        <w:t xml:space="preserve">Mi </w:t>
      </w:r>
      <w:proofErr w:type="spellStart"/>
      <w:r w:rsidRPr="00F13382">
        <w:rPr>
          <w:b/>
        </w:rPr>
        <w:t>Emprendimiento</w:t>
      </w:r>
      <w:proofErr w:type="spellEnd"/>
      <w:r w:rsidRPr="00F13382">
        <w:t xml:space="preserve"> (pre </w:t>
      </w:r>
      <w:proofErr w:type="spellStart"/>
      <w:r w:rsidRPr="00F13382">
        <w:t>incubación</w:t>
      </w:r>
      <w:proofErr w:type="spellEnd"/>
      <w:r w:rsidRPr="00F13382">
        <w:t>):</w:t>
      </w:r>
    </w:p>
    <w:p w14:paraId="295F9B98" w14:textId="77777777" w:rsidR="00DF7314" w:rsidRPr="00F13382" w:rsidRDefault="00DF7314" w:rsidP="00DF7314">
      <w:pPr>
        <w:spacing w:after="0" w:line="240" w:lineRule="auto"/>
        <w:jc w:val="both"/>
      </w:pPr>
      <w:r w:rsidRPr="00F13382">
        <w:t xml:space="preserve">Este </w:t>
      </w:r>
      <w:proofErr w:type="spellStart"/>
      <w:r w:rsidRPr="00F13382">
        <w:t>componente</w:t>
      </w:r>
      <w:proofErr w:type="spellEnd"/>
      <w:r w:rsidRPr="00F13382">
        <w:t xml:space="preserve"> </w:t>
      </w:r>
      <w:proofErr w:type="spellStart"/>
      <w:r w:rsidRPr="00F13382">
        <w:t>corresponde</w:t>
      </w:r>
      <w:proofErr w:type="spellEnd"/>
      <w:r w:rsidRPr="00F13382">
        <w:t xml:space="preserve"> al </w:t>
      </w:r>
      <w:proofErr w:type="spellStart"/>
      <w:r w:rsidRPr="00F13382">
        <w:t>programa</w:t>
      </w:r>
      <w:proofErr w:type="spellEnd"/>
      <w:r w:rsidRPr="00F13382">
        <w:t xml:space="preserve"> </w:t>
      </w:r>
      <w:proofErr w:type="spellStart"/>
      <w:r w:rsidRPr="00F13382">
        <w:t>formativo</w:t>
      </w:r>
      <w:proofErr w:type="spellEnd"/>
      <w:r w:rsidRPr="00F13382">
        <w:t xml:space="preserve"> que </w:t>
      </w:r>
      <w:proofErr w:type="spellStart"/>
      <w:r w:rsidRPr="00F13382">
        <w:t>busca</w:t>
      </w:r>
      <w:proofErr w:type="spellEnd"/>
      <w:r w:rsidRPr="00F13382">
        <w:t xml:space="preserve"> </w:t>
      </w:r>
      <w:proofErr w:type="spellStart"/>
      <w:r w:rsidRPr="00F13382">
        <w:t>instalar</w:t>
      </w:r>
      <w:proofErr w:type="spellEnd"/>
      <w:r w:rsidRPr="00F13382">
        <w:t xml:space="preserve"> </w:t>
      </w:r>
      <w:proofErr w:type="spellStart"/>
      <w:r w:rsidRPr="00F13382">
        <w:t>capacidades</w:t>
      </w:r>
      <w:proofErr w:type="spellEnd"/>
      <w:r w:rsidRPr="00F13382">
        <w:t xml:space="preserve"> y </w:t>
      </w:r>
      <w:proofErr w:type="spellStart"/>
      <w:r w:rsidRPr="00F13382">
        <w:t>habilidades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los </w:t>
      </w:r>
      <w:proofErr w:type="spellStart"/>
      <w:r w:rsidRPr="00F13382">
        <w:t>jóvenes</w:t>
      </w:r>
      <w:proofErr w:type="spellEnd"/>
      <w:r w:rsidRPr="00F13382">
        <w:t xml:space="preserve"> que </w:t>
      </w:r>
      <w:proofErr w:type="spellStart"/>
      <w:r w:rsidRPr="00F13382">
        <w:t>quieran</w:t>
      </w:r>
      <w:proofErr w:type="spellEnd"/>
      <w:r w:rsidRPr="00F13382">
        <w:t xml:space="preserve"> </w:t>
      </w:r>
      <w:proofErr w:type="spellStart"/>
      <w:r w:rsidRPr="00F13382">
        <w:t>emprender</w:t>
      </w:r>
      <w:proofErr w:type="spellEnd"/>
      <w:r w:rsidRPr="00F13382">
        <w:t xml:space="preserve"> un </w:t>
      </w:r>
      <w:proofErr w:type="spellStart"/>
      <w:r w:rsidRPr="00F13382">
        <w:t>proyecto</w:t>
      </w:r>
      <w:proofErr w:type="spellEnd"/>
      <w:r w:rsidRPr="00F13382">
        <w:t xml:space="preserve"> o que lo </w:t>
      </w:r>
      <w:proofErr w:type="spellStart"/>
      <w:r w:rsidRPr="00F13382">
        <w:t>hayan</w:t>
      </w:r>
      <w:proofErr w:type="spellEnd"/>
      <w:r w:rsidRPr="00F13382">
        <w:t xml:space="preserve"> </w:t>
      </w:r>
      <w:proofErr w:type="spellStart"/>
      <w:r w:rsidRPr="00F13382">
        <w:t>iniciado</w:t>
      </w:r>
      <w:proofErr w:type="spellEnd"/>
      <w:r w:rsidRPr="00F13382">
        <w:t xml:space="preserve"> y </w:t>
      </w:r>
      <w:proofErr w:type="spellStart"/>
      <w:r w:rsidRPr="00F13382">
        <w:t>este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sus </w:t>
      </w:r>
      <w:proofErr w:type="spellStart"/>
      <w:r w:rsidRPr="00F13382">
        <w:t>etap</w:t>
      </w:r>
      <w:r>
        <w:t>as</w:t>
      </w:r>
      <w:proofErr w:type="spellEnd"/>
      <w:r>
        <w:t xml:space="preserve"> </w:t>
      </w:r>
      <w:proofErr w:type="spellStart"/>
      <w:r>
        <w:t>tempranas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Pr="00F13382">
        <w:t xml:space="preserve">una </w:t>
      </w:r>
      <w:proofErr w:type="spellStart"/>
      <w:r w:rsidRPr="00F13382">
        <w:t>duración</w:t>
      </w:r>
      <w:proofErr w:type="spellEnd"/>
      <w:r w:rsidRPr="00F13382">
        <w:t xml:space="preserve"> de entre 4 </w:t>
      </w:r>
      <w:proofErr w:type="gramStart"/>
      <w:r w:rsidRPr="00F13382">
        <w:t>a</w:t>
      </w:r>
      <w:proofErr w:type="gramEnd"/>
      <w:r w:rsidRPr="00F13382">
        <w:t xml:space="preserve"> 8 </w:t>
      </w:r>
      <w:proofErr w:type="spellStart"/>
      <w:r w:rsidRPr="00F13382">
        <w:t>sesiones</w:t>
      </w:r>
      <w:proofErr w:type="spellEnd"/>
      <w:r w:rsidRPr="00F13382">
        <w:t xml:space="preserve"> (4-5 meses </w:t>
      </w:r>
      <w:proofErr w:type="spellStart"/>
      <w:r w:rsidRPr="00F13382">
        <w:t>aprox</w:t>
      </w:r>
      <w:proofErr w:type="spellEnd"/>
      <w:r w:rsidRPr="00F13382">
        <w:t xml:space="preserve">.) </w:t>
      </w:r>
      <w:proofErr w:type="spellStart"/>
      <w:r w:rsidRPr="00F13382">
        <w:t>en</w:t>
      </w:r>
      <w:proofErr w:type="spellEnd"/>
      <w:r w:rsidRPr="00F13382">
        <w:t xml:space="preserve"> el que los </w:t>
      </w:r>
      <w:proofErr w:type="spellStart"/>
      <w:r w:rsidRPr="00F13382">
        <w:t>jóvenes</w:t>
      </w:r>
      <w:proofErr w:type="spellEnd"/>
      <w:r w:rsidRPr="00F13382">
        <w:t xml:space="preserve"> </w:t>
      </w:r>
      <w:proofErr w:type="spellStart"/>
      <w:r w:rsidRPr="00F13382">
        <w:t>podrán</w:t>
      </w:r>
      <w:proofErr w:type="spellEnd"/>
      <w:r w:rsidRPr="00F13382">
        <w:t xml:space="preserve"> </w:t>
      </w:r>
      <w:proofErr w:type="spellStart"/>
      <w:r w:rsidRPr="00F13382">
        <w:t>prototipar</w:t>
      </w:r>
      <w:proofErr w:type="spellEnd"/>
      <w:r w:rsidRPr="00F13382">
        <w:t xml:space="preserve"> y </w:t>
      </w:r>
      <w:proofErr w:type="spellStart"/>
      <w:r w:rsidRPr="00F13382">
        <w:t>validar</w:t>
      </w:r>
      <w:proofErr w:type="spellEnd"/>
      <w:r w:rsidRPr="00F13382">
        <w:t xml:space="preserve"> ideas que </w:t>
      </w:r>
      <w:proofErr w:type="spellStart"/>
      <w:r w:rsidRPr="00F13382">
        <w:t>resuelvan</w:t>
      </w:r>
      <w:proofErr w:type="spellEnd"/>
      <w:r w:rsidRPr="00F13382">
        <w:t xml:space="preserve"> </w:t>
      </w:r>
      <w:proofErr w:type="spellStart"/>
      <w:r w:rsidRPr="00F13382">
        <w:t>problemas</w:t>
      </w:r>
      <w:proofErr w:type="spellEnd"/>
      <w:r w:rsidRPr="00F13382">
        <w:t xml:space="preserve"> </w:t>
      </w:r>
      <w:proofErr w:type="spellStart"/>
      <w:r w:rsidRPr="00F13382">
        <w:t>regionales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</w:t>
      </w:r>
      <w:proofErr w:type="spellStart"/>
      <w:r w:rsidRPr="00F13382">
        <w:t>todos</w:t>
      </w:r>
      <w:proofErr w:type="spellEnd"/>
      <w:r w:rsidRPr="00F13382">
        <w:t xml:space="preserve"> los </w:t>
      </w:r>
      <w:proofErr w:type="spellStart"/>
      <w:r w:rsidRPr="00F13382">
        <w:t>ámbitos</w:t>
      </w:r>
      <w:proofErr w:type="spellEnd"/>
      <w:r w:rsidRPr="00F13382">
        <w:t xml:space="preserve"> </w:t>
      </w:r>
      <w:proofErr w:type="spellStart"/>
      <w:r w:rsidRPr="00F13382">
        <w:t>posibles</w:t>
      </w:r>
      <w:proofErr w:type="spellEnd"/>
      <w:r w:rsidRPr="00F13382">
        <w:t xml:space="preserve"> (social, cultural, </w:t>
      </w:r>
      <w:proofErr w:type="spellStart"/>
      <w:r w:rsidRPr="00F13382">
        <w:t>económico</w:t>
      </w:r>
      <w:proofErr w:type="spellEnd"/>
      <w:r w:rsidRPr="00F13382">
        <w:t xml:space="preserve">, </w:t>
      </w:r>
      <w:proofErr w:type="spellStart"/>
      <w:r w:rsidRPr="00F13382">
        <w:t>político</w:t>
      </w:r>
      <w:proofErr w:type="spellEnd"/>
      <w:r w:rsidRPr="00F13382">
        <w:t xml:space="preserve">, </w:t>
      </w:r>
      <w:proofErr w:type="spellStart"/>
      <w:r w:rsidRPr="00F13382">
        <w:t>ambiental</w:t>
      </w:r>
      <w:proofErr w:type="spellEnd"/>
      <w:r w:rsidRPr="00F13382">
        <w:t xml:space="preserve"> o </w:t>
      </w:r>
      <w:proofErr w:type="spellStart"/>
      <w:r w:rsidRPr="00F13382">
        <w:t>tecnológico</w:t>
      </w:r>
      <w:proofErr w:type="spellEnd"/>
      <w:r w:rsidRPr="00F13382">
        <w:t xml:space="preserve">). </w:t>
      </w:r>
    </w:p>
    <w:p w14:paraId="53E0D036" w14:textId="77777777" w:rsidR="00DF7314" w:rsidRPr="00F13382" w:rsidRDefault="00DF7314" w:rsidP="00DF7314">
      <w:pPr>
        <w:spacing w:after="0" w:line="240" w:lineRule="auto"/>
        <w:jc w:val="both"/>
      </w:pPr>
    </w:p>
    <w:p w14:paraId="3BBD9CD6" w14:textId="675A97C8" w:rsidR="00DF7314" w:rsidRDefault="00DF7314" w:rsidP="00DF7314">
      <w:pPr>
        <w:spacing w:after="0" w:line="240" w:lineRule="auto"/>
        <w:jc w:val="both"/>
      </w:pPr>
      <w:r w:rsidRPr="00F13382">
        <w:t xml:space="preserve">Para el </w:t>
      </w:r>
      <w:proofErr w:type="spellStart"/>
      <w:r w:rsidRPr="00F13382">
        <w:t>año</w:t>
      </w:r>
      <w:proofErr w:type="spellEnd"/>
      <w:r w:rsidRPr="00F13382">
        <w:t xml:space="preserve"> 2021 se define la </w:t>
      </w:r>
      <w:proofErr w:type="spellStart"/>
      <w:r w:rsidRPr="00F13382">
        <w:t>realización</w:t>
      </w:r>
      <w:proofErr w:type="spellEnd"/>
      <w:r w:rsidRPr="00F13382">
        <w:t xml:space="preserve"> de </w:t>
      </w:r>
      <w:proofErr w:type="spellStart"/>
      <w:r w:rsidRPr="00F13382">
        <w:t>tres</w:t>
      </w:r>
      <w:proofErr w:type="spellEnd"/>
      <w:r w:rsidRPr="00F13382">
        <w:t xml:space="preserve"> </w:t>
      </w:r>
      <w:proofErr w:type="spellStart"/>
      <w:r w:rsidRPr="00F13382">
        <w:t>líneas</w:t>
      </w:r>
      <w:proofErr w:type="spellEnd"/>
      <w:r w:rsidRPr="00F13382">
        <w:t xml:space="preserve"> </w:t>
      </w:r>
      <w:proofErr w:type="spellStart"/>
      <w:r w:rsidRPr="00F13382">
        <w:t>programáticas</w:t>
      </w:r>
      <w:proofErr w:type="spellEnd"/>
      <w:r w:rsidRPr="00F13382">
        <w:t xml:space="preserve"> de Pre </w:t>
      </w:r>
      <w:proofErr w:type="spellStart"/>
      <w:r w:rsidRPr="00F13382">
        <w:t>incubación</w:t>
      </w:r>
      <w:proofErr w:type="spellEnd"/>
      <w:r w:rsidRPr="00F13382">
        <w:t xml:space="preserve"> </w:t>
      </w:r>
      <w:proofErr w:type="spellStart"/>
      <w:r w:rsidRPr="00F13382">
        <w:t>apelando</w:t>
      </w:r>
      <w:proofErr w:type="spellEnd"/>
      <w:r w:rsidRPr="00F13382">
        <w:t xml:space="preserve"> a </w:t>
      </w:r>
      <w:proofErr w:type="spellStart"/>
      <w:r w:rsidRPr="00F13382">
        <w:t>criterios</w:t>
      </w:r>
      <w:proofErr w:type="spellEnd"/>
      <w:r w:rsidRPr="00F13382">
        <w:t xml:space="preserve"> de </w:t>
      </w:r>
      <w:proofErr w:type="spellStart"/>
      <w:r w:rsidRPr="00F13382">
        <w:t>focalización</w:t>
      </w:r>
      <w:proofErr w:type="spellEnd"/>
      <w:r w:rsidRPr="00F13382">
        <w:t xml:space="preserve">, </w:t>
      </w:r>
      <w:proofErr w:type="spellStart"/>
      <w:r w:rsidRPr="00F13382">
        <w:t>buscando</w:t>
      </w:r>
      <w:proofErr w:type="spellEnd"/>
      <w:r w:rsidRPr="00F13382">
        <w:t xml:space="preserve"> </w:t>
      </w:r>
      <w:proofErr w:type="spellStart"/>
      <w:r w:rsidRPr="00F13382">
        <w:t>así</w:t>
      </w:r>
      <w:proofErr w:type="spellEnd"/>
      <w:r w:rsidRPr="00F13382">
        <w:t xml:space="preserve"> </w:t>
      </w:r>
      <w:proofErr w:type="spellStart"/>
      <w:r w:rsidRPr="00F13382">
        <w:t>maximizar</w:t>
      </w:r>
      <w:proofErr w:type="spellEnd"/>
      <w:r w:rsidRPr="00F13382">
        <w:t xml:space="preserve"> el </w:t>
      </w:r>
      <w:proofErr w:type="spellStart"/>
      <w:r w:rsidRPr="00F13382">
        <w:t>alcance</w:t>
      </w:r>
      <w:proofErr w:type="spellEnd"/>
      <w:r w:rsidRPr="00F13382">
        <w:t xml:space="preserve"> del </w:t>
      </w:r>
      <w:proofErr w:type="spellStart"/>
      <w:r w:rsidRPr="00F13382">
        <w:t>programa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la población </w:t>
      </w:r>
      <w:proofErr w:type="spellStart"/>
      <w:r w:rsidRPr="00F13382">
        <w:t>joven</w:t>
      </w:r>
      <w:proofErr w:type="spellEnd"/>
      <w:r w:rsidRPr="00F13382">
        <w:t xml:space="preserve"> y vulnerable. De </w:t>
      </w:r>
      <w:proofErr w:type="spellStart"/>
      <w:r w:rsidRPr="00F13382">
        <w:t>esta</w:t>
      </w:r>
      <w:proofErr w:type="spellEnd"/>
      <w:r w:rsidRPr="00F13382">
        <w:t xml:space="preserve"> </w:t>
      </w:r>
      <w:proofErr w:type="spellStart"/>
      <w:r w:rsidRPr="00F13382">
        <w:t>manera</w:t>
      </w:r>
      <w:proofErr w:type="spellEnd"/>
      <w:r w:rsidRPr="00F13382">
        <w:t xml:space="preserve"> se </w:t>
      </w:r>
      <w:proofErr w:type="spellStart"/>
      <w:r w:rsidRPr="00F13382">
        <w:t>definen</w:t>
      </w:r>
      <w:proofErr w:type="spellEnd"/>
      <w:r w:rsidRPr="00F13382">
        <w:t xml:space="preserve"> </w:t>
      </w:r>
      <w:proofErr w:type="spellStart"/>
      <w:r w:rsidRPr="00F13382">
        <w:t>como</w:t>
      </w:r>
      <w:proofErr w:type="spellEnd"/>
      <w:r w:rsidRPr="00F13382">
        <w:t xml:space="preserve"> </w:t>
      </w:r>
      <w:proofErr w:type="spellStart"/>
      <w:r w:rsidRPr="00F13382">
        <w:t>líneas</w:t>
      </w:r>
      <w:proofErr w:type="spellEnd"/>
      <w:r w:rsidRPr="00F13382">
        <w:t xml:space="preserve">: </w:t>
      </w:r>
    </w:p>
    <w:p w14:paraId="197DBA16" w14:textId="77777777" w:rsidR="00DF7314" w:rsidRDefault="00DF7314" w:rsidP="00DF7314">
      <w:pPr>
        <w:spacing w:after="0" w:line="240" w:lineRule="auto"/>
        <w:jc w:val="both"/>
      </w:pPr>
    </w:p>
    <w:p w14:paraId="6DA9DD91" w14:textId="77777777" w:rsidR="00DF7314" w:rsidRDefault="00DF7314" w:rsidP="00DF7314">
      <w:pPr>
        <w:spacing w:after="0" w:line="240" w:lineRule="auto"/>
        <w:jc w:val="both"/>
      </w:pPr>
      <w:r w:rsidRPr="00F13382">
        <w:rPr>
          <w:b/>
          <w:color w:val="C00000"/>
        </w:rPr>
        <w:t>1ro.</w:t>
      </w:r>
      <w:r w:rsidRPr="00F13382">
        <w:rPr>
          <w:color w:val="C00000"/>
        </w:rPr>
        <w:t xml:space="preserve"> </w:t>
      </w:r>
      <w:r w:rsidRPr="00F13382">
        <w:t xml:space="preserve">Mi </w:t>
      </w:r>
      <w:proofErr w:type="spellStart"/>
      <w:r w:rsidRPr="00F13382">
        <w:t>Emprendimiento</w:t>
      </w:r>
      <w:proofErr w:type="spellEnd"/>
      <w:r w:rsidRPr="00F13382">
        <w:t xml:space="preserve"> para </w:t>
      </w:r>
      <w:proofErr w:type="spellStart"/>
      <w:r w:rsidRPr="00F13382">
        <w:t>jóvenes</w:t>
      </w:r>
      <w:proofErr w:type="spellEnd"/>
      <w:r w:rsidRPr="00F13382">
        <w:t xml:space="preserve"> entre 15-18 </w:t>
      </w:r>
      <w:proofErr w:type="spellStart"/>
      <w:r w:rsidRPr="00F13382">
        <w:t>años</w:t>
      </w:r>
      <w:proofErr w:type="spellEnd"/>
      <w:r w:rsidRPr="00F13382">
        <w:t xml:space="preserve">, </w:t>
      </w:r>
    </w:p>
    <w:p w14:paraId="7FF04E85" w14:textId="7D3EA55B" w:rsidR="00DF7314" w:rsidRDefault="00DF7314" w:rsidP="00DF7314">
      <w:pPr>
        <w:spacing w:after="0" w:line="240" w:lineRule="auto"/>
        <w:jc w:val="both"/>
      </w:pPr>
      <w:r w:rsidRPr="00F13382">
        <w:rPr>
          <w:b/>
          <w:color w:val="C00000"/>
        </w:rPr>
        <w:t>2da</w:t>
      </w:r>
      <w:r w:rsidRPr="00F13382">
        <w:t xml:space="preserve">. Mi </w:t>
      </w:r>
      <w:proofErr w:type="spellStart"/>
      <w:r w:rsidRPr="00F13382">
        <w:t>Emprendimiento</w:t>
      </w:r>
      <w:proofErr w:type="spellEnd"/>
      <w:r w:rsidRPr="00F13382">
        <w:t xml:space="preserve"> para </w:t>
      </w:r>
      <w:proofErr w:type="spellStart"/>
      <w:r w:rsidRPr="00F13382">
        <w:t>jóvenes</w:t>
      </w:r>
      <w:proofErr w:type="spellEnd"/>
      <w:r w:rsidRPr="00F13382">
        <w:t xml:space="preserve"> entre 19 a 29 </w:t>
      </w:r>
      <w:proofErr w:type="spellStart"/>
      <w:r w:rsidRPr="00F13382">
        <w:t>años</w:t>
      </w:r>
      <w:proofErr w:type="spellEnd"/>
      <w:r w:rsidRPr="00F13382">
        <w:t xml:space="preserve"> de las 16 </w:t>
      </w:r>
      <w:proofErr w:type="spellStart"/>
      <w:r w:rsidRPr="00F13382">
        <w:t>regiones</w:t>
      </w:r>
      <w:proofErr w:type="spellEnd"/>
      <w:r w:rsidRPr="00F13382">
        <w:t xml:space="preserve"> del </w:t>
      </w:r>
      <w:proofErr w:type="spellStart"/>
      <w:r w:rsidRPr="00F13382">
        <w:t>país</w:t>
      </w:r>
      <w:proofErr w:type="spellEnd"/>
      <w:r>
        <w:t>.</w:t>
      </w:r>
    </w:p>
    <w:p w14:paraId="72A09815" w14:textId="28A5E935" w:rsidR="00DF7314" w:rsidRPr="00F13382" w:rsidRDefault="00DF7314" w:rsidP="00DF7314">
      <w:pPr>
        <w:spacing w:after="0" w:line="240" w:lineRule="auto"/>
        <w:jc w:val="both"/>
      </w:pPr>
      <w:r w:rsidRPr="00F13382">
        <w:rPr>
          <w:b/>
          <w:color w:val="C00000"/>
        </w:rPr>
        <w:t>3ra</w:t>
      </w:r>
      <w:r w:rsidRPr="00F13382">
        <w:t xml:space="preserve">.  Mi </w:t>
      </w:r>
      <w:proofErr w:type="spellStart"/>
      <w:r w:rsidRPr="00F13382">
        <w:t>Emprendimiento</w:t>
      </w:r>
      <w:proofErr w:type="spellEnd"/>
      <w:r w:rsidRPr="00F13382">
        <w:t xml:space="preserve"> para </w:t>
      </w:r>
      <w:proofErr w:type="spellStart"/>
      <w:r w:rsidRPr="00F13382">
        <w:t>jóvenes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</w:t>
      </w:r>
      <w:proofErr w:type="spellStart"/>
      <w:r w:rsidRPr="00F13382">
        <w:t>condición</w:t>
      </w:r>
      <w:proofErr w:type="spellEnd"/>
      <w:r w:rsidRPr="00F13382">
        <w:t xml:space="preserve"> de </w:t>
      </w:r>
      <w:proofErr w:type="spellStart"/>
      <w:r w:rsidRPr="00F13382">
        <w:t>vulnerabilidad</w:t>
      </w:r>
      <w:proofErr w:type="spellEnd"/>
      <w:r>
        <w:t>- SENAME</w:t>
      </w:r>
      <w:r w:rsidRPr="00F13382">
        <w:t xml:space="preserve">. </w:t>
      </w:r>
      <w:proofErr w:type="spellStart"/>
      <w:r w:rsidRPr="00F13382">
        <w:t>Esta</w:t>
      </w:r>
      <w:proofErr w:type="spellEnd"/>
      <w:r w:rsidRPr="00F13382">
        <w:t xml:space="preserve"> </w:t>
      </w:r>
      <w:proofErr w:type="spellStart"/>
      <w:r w:rsidRPr="00F13382">
        <w:t>última</w:t>
      </w:r>
      <w:proofErr w:type="spellEnd"/>
      <w:r w:rsidRPr="00F13382">
        <w:t xml:space="preserve"> </w:t>
      </w:r>
      <w:proofErr w:type="spellStart"/>
      <w:r w:rsidRPr="00F13382">
        <w:t>línea</w:t>
      </w:r>
      <w:proofErr w:type="spellEnd"/>
      <w:r w:rsidRPr="00F13382">
        <w:t xml:space="preserve"> da </w:t>
      </w:r>
      <w:proofErr w:type="spellStart"/>
      <w:r w:rsidRPr="00F13382">
        <w:t>continuidad</w:t>
      </w:r>
      <w:proofErr w:type="spellEnd"/>
      <w:r w:rsidRPr="00F13382">
        <w:t xml:space="preserve"> al </w:t>
      </w:r>
      <w:proofErr w:type="spellStart"/>
      <w:r w:rsidRPr="00F13382">
        <w:t>piloto</w:t>
      </w:r>
      <w:proofErr w:type="spellEnd"/>
      <w:r w:rsidRPr="00F13382">
        <w:t xml:space="preserve"> </w:t>
      </w:r>
      <w:proofErr w:type="spellStart"/>
      <w:r w:rsidRPr="00F13382">
        <w:t>realizado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el 2020 </w:t>
      </w:r>
      <w:proofErr w:type="spellStart"/>
      <w:r w:rsidRPr="00F13382">
        <w:t>en</w:t>
      </w:r>
      <w:proofErr w:type="spellEnd"/>
      <w:r w:rsidRPr="00F13382">
        <w:t xml:space="preserve"> la </w:t>
      </w:r>
      <w:proofErr w:type="spellStart"/>
      <w:r w:rsidRPr="00F13382">
        <w:t>región</w:t>
      </w:r>
      <w:proofErr w:type="spellEnd"/>
      <w:r w:rsidRPr="00F13382">
        <w:t xml:space="preserve"> de Maule </w:t>
      </w:r>
      <w:proofErr w:type="spellStart"/>
      <w:r w:rsidRPr="00F13382">
        <w:t>donde</w:t>
      </w:r>
      <w:proofErr w:type="spellEnd"/>
      <w:r w:rsidRPr="00F13382">
        <w:t xml:space="preserve"> se </w:t>
      </w:r>
      <w:proofErr w:type="spellStart"/>
      <w:r w:rsidRPr="00F13382">
        <w:t>realizó</w:t>
      </w:r>
      <w:proofErr w:type="spellEnd"/>
      <w:r w:rsidRPr="00F13382">
        <w:t xml:space="preserve"> un </w:t>
      </w:r>
      <w:proofErr w:type="spellStart"/>
      <w:r w:rsidRPr="00F13382">
        <w:t>programa</w:t>
      </w:r>
      <w:proofErr w:type="spellEnd"/>
      <w:r w:rsidRPr="00F13382">
        <w:t xml:space="preserve"> </w:t>
      </w:r>
      <w:proofErr w:type="spellStart"/>
      <w:r w:rsidRPr="00F13382">
        <w:t>formativo</w:t>
      </w:r>
      <w:proofErr w:type="spellEnd"/>
      <w:r w:rsidRPr="00F13382">
        <w:t xml:space="preserve"> para </w:t>
      </w:r>
      <w:proofErr w:type="spellStart"/>
      <w:r w:rsidRPr="00F13382">
        <w:t>jóvenes</w:t>
      </w:r>
      <w:proofErr w:type="spellEnd"/>
      <w:r w:rsidRPr="00F13382">
        <w:t xml:space="preserve"> SENAME privados de la </w:t>
      </w:r>
      <w:proofErr w:type="spellStart"/>
      <w:r w:rsidRPr="00F13382">
        <w:t>libertad</w:t>
      </w:r>
      <w:proofErr w:type="spellEnd"/>
      <w:r w:rsidRPr="00F13382">
        <w:t xml:space="preserve">. </w:t>
      </w:r>
    </w:p>
    <w:p w14:paraId="15F7501F" w14:textId="77777777" w:rsidR="00DF7314" w:rsidRPr="00F13382" w:rsidRDefault="00DF7314" w:rsidP="00DF7314">
      <w:pPr>
        <w:spacing w:after="0" w:line="240" w:lineRule="auto"/>
        <w:jc w:val="both"/>
      </w:pPr>
    </w:p>
    <w:p w14:paraId="4BC97DB8" w14:textId="77777777" w:rsidR="00DF7314" w:rsidRPr="00F13382" w:rsidRDefault="00DF7314" w:rsidP="00DF7314">
      <w:pPr>
        <w:pStyle w:val="Prrafodelista"/>
        <w:spacing w:after="0" w:line="240" w:lineRule="auto"/>
        <w:ind w:left="0"/>
        <w:jc w:val="both"/>
      </w:pPr>
      <w:proofErr w:type="spellStart"/>
      <w:r w:rsidRPr="00F13382">
        <w:t>Adicionalmente</w:t>
      </w:r>
      <w:proofErr w:type="spellEnd"/>
      <w:r w:rsidRPr="00F13382">
        <w:t xml:space="preserve"> al </w:t>
      </w:r>
      <w:proofErr w:type="spellStart"/>
      <w:r w:rsidRPr="00F13382">
        <w:t>proceso</w:t>
      </w:r>
      <w:proofErr w:type="spellEnd"/>
      <w:r w:rsidRPr="00F13382">
        <w:t xml:space="preserve"> de </w:t>
      </w:r>
      <w:proofErr w:type="spellStart"/>
      <w:r w:rsidRPr="00F13382">
        <w:t>formación</w:t>
      </w:r>
      <w:proofErr w:type="spellEnd"/>
      <w:r w:rsidRPr="00F13382">
        <w:t xml:space="preserve"> – Pre </w:t>
      </w:r>
      <w:proofErr w:type="spellStart"/>
      <w:r w:rsidRPr="00F13382">
        <w:t>incubación</w:t>
      </w:r>
      <w:proofErr w:type="spellEnd"/>
      <w:r w:rsidRPr="00F13382">
        <w:t xml:space="preserve">, </w:t>
      </w:r>
      <w:proofErr w:type="spellStart"/>
      <w:r w:rsidRPr="00F13382">
        <w:t>también</w:t>
      </w:r>
      <w:proofErr w:type="spellEnd"/>
      <w:r w:rsidRPr="00F13382">
        <w:t xml:space="preserve"> se </w:t>
      </w:r>
      <w:proofErr w:type="spellStart"/>
      <w:r w:rsidRPr="00F13382">
        <w:t>deben</w:t>
      </w:r>
      <w:proofErr w:type="spellEnd"/>
      <w:r w:rsidRPr="00F13382">
        <w:t xml:space="preserve"> </w:t>
      </w:r>
      <w:proofErr w:type="spellStart"/>
      <w:r w:rsidRPr="00F13382">
        <w:t>considerar</w:t>
      </w:r>
      <w:proofErr w:type="spellEnd"/>
      <w:r w:rsidRPr="00F13382">
        <w:t xml:space="preserve"> los </w:t>
      </w:r>
      <w:proofErr w:type="spellStart"/>
      <w:r w:rsidRPr="00F13382">
        <w:t>procesos</w:t>
      </w:r>
      <w:proofErr w:type="spellEnd"/>
      <w:r w:rsidRPr="00F13382">
        <w:t xml:space="preserve"> de </w:t>
      </w:r>
      <w:proofErr w:type="spellStart"/>
      <w:r w:rsidRPr="00F13382">
        <w:t>acompañamiento</w:t>
      </w:r>
      <w:proofErr w:type="spellEnd"/>
      <w:r w:rsidRPr="00F13382">
        <w:t xml:space="preserve"> y </w:t>
      </w:r>
      <w:proofErr w:type="spellStart"/>
      <w:r w:rsidRPr="00F13382">
        <w:t>monitoreo</w:t>
      </w:r>
      <w:proofErr w:type="spellEnd"/>
      <w:r w:rsidRPr="00F13382">
        <w:t xml:space="preserve"> de los </w:t>
      </w:r>
      <w:proofErr w:type="spellStart"/>
      <w:r w:rsidRPr="00F13382">
        <w:t>proyectos</w:t>
      </w:r>
      <w:proofErr w:type="spellEnd"/>
      <w:r w:rsidRPr="00F13382">
        <w:t xml:space="preserve"> </w:t>
      </w:r>
      <w:proofErr w:type="spellStart"/>
      <w:r w:rsidRPr="00F13382">
        <w:t>desarrollados</w:t>
      </w:r>
      <w:proofErr w:type="spellEnd"/>
      <w:r w:rsidRPr="00F13382">
        <w:t xml:space="preserve"> por los </w:t>
      </w:r>
      <w:proofErr w:type="spellStart"/>
      <w:r w:rsidRPr="00F13382">
        <w:t>beneficiarios</w:t>
      </w:r>
      <w:proofErr w:type="spellEnd"/>
      <w:r w:rsidRPr="00F13382">
        <w:t xml:space="preserve"> con </w:t>
      </w:r>
      <w:proofErr w:type="spellStart"/>
      <w:r w:rsidRPr="00F13382">
        <w:t>finalidad</w:t>
      </w:r>
      <w:proofErr w:type="spellEnd"/>
      <w:r w:rsidRPr="00F13382">
        <w:t xml:space="preserve"> de </w:t>
      </w:r>
      <w:proofErr w:type="spellStart"/>
      <w:r w:rsidRPr="00F13382">
        <w:t>entregarles</w:t>
      </w:r>
      <w:proofErr w:type="spellEnd"/>
      <w:r w:rsidRPr="00F13382">
        <w:t xml:space="preserve"> </w:t>
      </w:r>
      <w:proofErr w:type="spellStart"/>
      <w:r w:rsidRPr="00F13382">
        <w:t>soporte</w:t>
      </w:r>
      <w:proofErr w:type="spellEnd"/>
      <w:r w:rsidRPr="00F13382">
        <w:t xml:space="preserve"> </w:t>
      </w:r>
      <w:proofErr w:type="spellStart"/>
      <w:r w:rsidRPr="00F13382">
        <w:t>técnico</w:t>
      </w:r>
      <w:proofErr w:type="spellEnd"/>
      <w:r w:rsidRPr="00F13382">
        <w:t xml:space="preserve"> y </w:t>
      </w:r>
      <w:proofErr w:type="spellStart"/>
      <w:r w:rsidRPr="00F13382">
        <w:t>rápido</w:t>
      </w:r>
      <w:proofErr w:type="spellEnd"/>
      <w:r w:rsidRPr="00F13382">
        <w:t xml:space="preserve"> </w:t>
      </w:r>
      <w:proofErr w:type="spellStart"/>
      <w:r w:rsidRPr="00F13382">
        <w:t>en</w:t>
      </w:r>
      <w:proofErr w:type="spellEnd"/>
      <w:r w:rsidRPr="00F13382">
        <w:t xml:space="preserve"> el </w:t>
      </w:r>
      <w:proofErr w:type="spellStart"/>
      <w:r w:rsidRPr="00F13382">
        <w:t>cumplimiento</w:t>
      </w:r>
      <w:proofErr w:type="spellEnd"/>
      <w:r w:rsidRPr="00F13382">
        <w:t xml:space="preserve"> de </w:t>
      </w:r>
      <w:proofErr w:type="spellStart"/>
      <w:r w:rsidRPr="00F13382">
        <w:t>hitos</w:t>
      </w:r>
      <w:proofErr w:type="spellEnd"/>
      <w:r w:rsidRPr="00F13382">
        <w:t xml:space="preserve"> </w:t>
      </w:r>
      <w:proofErr w:type="spellStart"/>
      <w:r w:rsidRPr="00F13382">
        <w:t>críticos</w:t>
      </w:r>
      <w:proofErr w:type="spellEnd"/>
      <w:r w:rsidRPr="00F13382">
        <w:t xml:space="preserve">. Este </w:t>
      </w:r>
      <w:proofErr w:type="spellStart"/>
      <w:r w:rsidRPr="00F13382">
        <w:t>trabajo</w:t>
      </w:r>
      <w:proofErr w:type="spellEnd"/>
      <w:r w:rsidRPr="00F13382">
        <w:t xml:space="preserve"> debe ser </w:t>
      </w:r>
      <w:proofErr w:type="spellStart"/>
      <w:r w:rsidRPr="00F13382">
        <w:t>desarrollado</w:t>
      </w:r>
      <w:proofErr w:type="spellEnd"/>
      <w:r w:rsidRPr="00F13382">
        <w:t xml:space="preserve"> </w:t>
      </w:r>
      <w:proofErr w:type="spellStart"/>
      <w:r>
        <w:t>en</w:t>
      </w:r>
      <w:proofErr w:type="spellEnd"/>
      <w:r>
        <w:t xml:space="preserve"> conjunto con</w:t>
      </w:r>
      <w:r w:rsidRPr="00F13382">
        <w:t xml:space="preserve"> los </w:t>
      </w:r>
      <w:proofErr w:type="spellStart"/>
      <w:r w:rsidRPr="00F13382">
        <w:t>equipos</w:t>
      </w:r>
      <w:proofErr w:type="spellEnd"/>
      <w:r w:rsidRPr="00F13382">
        <w:t xml:space="preserve"> </w:t>
      </w:r>
      <w:proofErr w:type="spellStart"/>
      <w:r w:rsidRPr="00F13382">
        <w:t>regionales</w:t>
      </w:r>
      <w:proofErr w:type="spellEnd"/>
      <w:r w:rsidRPr="00F13382">
        <w:t xml:space="preserve">. </w:t>
      </w:r>
    </w:p>
    <w:p w14:paraId="0BE8C820" w14:textId="77777777" w:rsidR="00DF7314" w:rsidRPr="00F13382" w:rsidRDefault="00DF7314" w:rsidP="00DF7314">
      <w:pPr>
        <w:pStyle w:val="Prrafodelista"/>
        <w:spacing w:after="0" w:line="240" w:lineRule="auto"/>
        <w:ind w:left="0"/>
        <w:jc w:val="both"/>
      </w:pPr>
    </w:p>
    <w:p w14:paraId="7C5223A7" w14:textId="77777777" w:rsidR="00DF7314" w:rsidRDefault="00DF7314" w:rsidP="00DF7314">
      <w:pPr>
        <w:jc w:val="both"/>
        <w:rPr>
          <w:rFonts w:eastAsia="Calibri"/>
        </w:rPr>
      </w:pPr>
      <w:proofErr w:type="spellStart"/>
      <w:r w:rsidRPr="00F13382">
        <w:rPr>
          <w:rFonts w:eastAsia="Calibri"/>
        </w:rPr>
        <w:t>Asimismo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conjunto con el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acompañamiento</w:t>
      </w:r>
      <w:proofErr w:type="spellEnd"/>
      <w:r w:rsidRPr="00F13382">
        <w:rPr>
          <w:rFonts w:eastAsia="Calibri"/>
        </w:rPr>
        <w:t xml:space="preserve"> se </w:t>
      </w:r>
      <w:proofErr w:type="spellStart"/>
      <w:r w:rsidRPr="00F13382">
        <w:rPr>
          <w:rFonts w:eastAsia="Calibri"/>
        </w:rPr>
        <w:t>deberá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desarrollar</w:t>
      </w:r>
      <w:proofErr w:type="spellEnd"/>
      <w:r w:rsidRPr="00F13382">
        <w:rPr>
          <w:rFonts w:eastAsia="Calibri"/>
        </w:rPr>
        <w:t xml:space="preserve"> un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  <w:b/>
        </w:rPr>
        <w:t>asesoría</w:t>
      </w:r>
      <w:proofErr w:type="spellEnd"/>
      <w:r w:rsidRPr="00F13382">
        <w:rPr>
          <w:rFonts w:eastAsia="Calibri"/>
          <w:b/>
        </w:rPr>
        <w:t>/</w:t>
      </w:r>
      <w:proofErr w:type="spellStart"/>
      <w:r w:rsidRPr="00F13382">
        <w:rPr>
          <w:rFonts w:eastAsia="Calibri"/>
          <w:b/>
        </w:rPr>
        <w:t>mentoría</w:t>
      </w:r>
      <w:proofErr w:type="spellEnd"/>
      <w:r w:rsidRPr="00F13382">
        <w:rPr>
          <w:rFonts w:eastAsia="Calibri"/>
        </w:rPr>
        <w:t xml:space="preserve"> con </w:t>
      </w:r>
      <w:proofErr w:type="spellStart"/>
      <w:r w:rsidRPr="00F13382">
        <w:rPr>
          <w:rFonts w:eastAsia="Calibri"/>
        </w:rPr>
        <w:t>expertos</w:t>
      </w:r>
      <w:proofErr w:type="spellEnd"/>
      <w:r w:rsidRPr="00F13382">
        <w:rPr>
          <w:rFonts w:eastAsia="Calibri"/>
        </w:rPr>
        <w:t xml:space="preserve"> que </w:t>
      </w:r>
      <w:proofErr w:type="spellStart"/>
      <w:r w:rsidRPr="00F13382">
        <w:rPr>
          <w:rFonts w:eastAsia="Calibri"/>
        </w:rPr>
        <w:t>deberán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asesorar</w:t>
      </w:r>
      <w:proofErr w:type="spellEnd"/>
      <w:r w:rsidRPr="00F13382">
        <w:rPr>
          <w:rFonts w:eastAsia="Calibri"/>
        </w:rPr>
        <w:t xml:space="preserve"> los </w:t>
      </w:r>
      <w:proofErr w:type="spellStart"/>
      <w:r w:rsidRPr="00F13382">
        <w:rPr>
          <w:rFonts w:eastAsia="Calibri"/>
        </w:rPr>
        <w:t>proyectos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acuerdo</w:t>
      </w:r>
      <w:proofErr w:type="spellEnd"/>
      <w:r w:rsidRPr="00F13382">
        <w:rPr>
          <w:rFonts w:eastAsia="Calibri"/>
        </w:rPr>
        <w:t xml:space="preserve"> a los </w:t>
      </w:r>
      <w:proofErr w:type="spellStart"/>
      <w:r w:rsidRPr="00F13382">
        <w:rPr>
          <w:rFonts w:eastAsia="Calibri"/>
        </w:rPr>
        <w:t>sectores</w:t>
      </w:r>
      <w:proofErr w:type="spellEnd"/>
      <w:r w:rsidRPr="00F13382">
        <w:rPr>
          <w:rFonts w:eastAsia="Calibri"/>
        </w:rPr>
        <w:t xml:space="preserve"> y </w:t>
      </w:r>
      <w:proofErr w:type="spellStart"/>
      <w:r w:rsidRPr="00F13382">
        <w:rPr>
          <w:rFonts w:eastAsia="Calibri"/>
        </w:rPr>
        <w:t>temáticas</w:t>
      </w:r>
      <w:proofErr w:type="spellEnd"/>
      <w:r w:rsidRPr="00F13382">
        <w:rPr>
          <w:rFonts w:eastAsia="Calibri"/>
        </w:rPr>
        <w:t xml:space="preserve"> que se </w:t>
      </w:r>
      <w:proofErr w:type="spellStart"/>
      <w:r w:rsidRPr="00F13382">
        <w:rPr>
          <w:rFonts w:eastAsia="Calibri"/>
        </w:rPr>
        <w:t>encuentren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incubando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el </w:t>
      </w:r>
      <w:proofErr w:type="spellStart"/>
      <w:r w:rsidRPr="00F13382">
        <w:rPr>
          <w:rFonts w:eastAsia="Calibri"/>
          <w:b/>
          <w:color w:val="00B0F0"/>
          <w:u w:val="single"/>
        </w:rPr>
        <w:t>INHub</w:t>
      </w:r>
      <w:proofErr w:type="spellEnd"/>
      <w:r w:rsidRPr="00F13382">
        <w:rPr>
          <w:rFonts w:eastAsia="Calibri"/>
        </w:rPr>
        <w:t xml:space="preserve">. De </w:t>
      </w:r>
      <w:proofErr w:type="spellStart"/>
      <w:r w:rsidRPr="00F13382">
        <w:rPr>
          <w:rFonts w:eastAsia="Calibri"/>
        </w:rPr>
        <w:t>acuerdo</w:t>
      </w:r>
      <w:proofErr w:type="spellEnd"/>
      <w:r w:rsidRPr="00F13382">
        <w:rPr>
          <w:rFonts w:eastAsia="Calibri"/>
        </w:rPr>
        <w:t xml:space="preserve"> a la </w:t>
      </w:r>
      <w:proofErr w:type="spellStart"/>
      <w:r w:rsidRPr="00F13382">
        <w:rPr>
          <w:rFonts w:eastAsia="Calibri"/>
        </w:rPr>
        <w:t>experiencia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liderada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el 2020 por Agent Piggy, se </w:t>
      </w:r>
      <w:proofErr w:type="spellStart"/>
      <w:r w:rsidRPr="00F13382">
        <w:rPr>
          <w:rFonts w:eastAsia="Calibri"/>
        </w:rPr>
        <w:t>deben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hacer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asesorías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negocio</w:t>
      </w:r>
      <w:proofErr w:type="spellEnd"/>
      <w:r w:rsidRPr="00F13382">
        <w:rPr>
          <w:rFonts w:eastAsia="Calibri"/>
        </w:rPr>
        <w:t xml:space="preserve"> y </w:t>
      </w:r>
      <w:proofErr w:type="spellStart"/>
      <w:r w:rsidRPr="00F13382">
        <w:rPr>
          <w:rFonts w:eastAsia="Calibri"/>
        </w:rPr>
        <w:t>vocacionales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dependiendo</w:t>
      </w:r>
      <w:proofErr w:type="spellEnd"/>
      <w:r w:rsidRPr="00F13382">
        <w:rPr>
          <w:rFonts w:eastAsia="Calibri"/>
        </w:rPr>
        <w:t xml:space="preserve"> de los </w:t>
      </w:r>
      <w:proofErr w:type="spellStart"/>
      <w:r w:rsidRPr="00F13382">
        <w:rPr>
          <w:rFonts w:eastAsia="Calibri"/>
        </w:rPr>
        <w:t>intereses</w:t>
      </w:r>
      <w:proofErr w:type="spellEnd"/>
      <w:r w:rsidRPr="00F13382">
        <w:rPr>
          <w:rFonts w:eastAsia="Calibri"/>
        </w:rPr>
        <w:t xml:space="preserve"> que </w:t>
      </w:r>
      <w:proofErr w:type="spellStart"/>
      <w:r w:rsidRPr="00F13382">
        <w:rPr>
          <w:rFonts w:eastAsia="Calibri"/>
        </w:rPr>
        <w:t>tengan</w:t>
      </w:r>
      <w:proofErr w:type="spellEnd"/>
      <w:r w:rsidRPr="00F13382">
        <w:rPr>
          <w:rFonts w:eastAsia="Calibri"/>
        </w:rPr>
        <w:t xml:space="preserve"> los </w:t>
      </w:r>
      <w:proofErr w:type="spellStart"/>
      <w:r w:rsidRPr="00F13382">
        <w:rPr>
          <w:rFonts w:eastAsia="Calibri"/>
        </w:rPr>
        <w:t>jóvenes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beneficiarios</w:t>
      </w:r>
      <w:proofErr w:type="spellEnd"/>
      <w:r w:rsidRPr="00F13382">
        <w:rPr>
          <w:rFonts w:eastAsia="Calibri"/>
        </w:rPr>
        <w:t xml:space="preserve"> del </w:t>
      </w:r>
      <w:proofErr w:type="spellStart"/>
      <w:r w:rsidRPr="00F13382">
        <w:rPr>
          <w:rFonts w:eastAsia="Calibri"/>
        </w:rPr>
        <w:t>programa</w:t>
      </w:r>
      <w:proofErr w:type="spellEnd"/>
      <w:r w:rsidRPr="00F13382">
        <w:rPr>
          <w:rFonts w:eastAsia="Calibri"/>
        </w:rPr>
        <w:t xml:space="preserve">. Para el </w:t>
      </w:r>
      <w:proofErr w:type="spellStart"/>
      <w:r w:rsidRPr="00F13382">
        <w:rPr>
          <w:rFonts w:eastAsia="Calibri"/>
        </w:rPr>
        <w:t>año</w:t>
      </w:r>
      <w:proofErr w:type="spellEnd"/>
      <w:r w:rsidRPr="00F13382">
        <w:rPr>
          <w:rFonts w:eastAsia="Calibri"/>
        </w:rPr>
        <w:t xml:space="preserve"> 2021, el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mentoría</w:t>
      </w:r>
      <w:proofErr w:type="spellEnd"/>
      <w:r w:rsidRPr="00F13382">
        <w:rPr>
          <w:rFonts w:eastAsia="Calibri"/>
        </w:rPr>
        <w:t xml:space="preserve"> solo se </w:t>
      </w:r>
      <w:proofErr w:type="spellStart"/>
      <w:r w:rsidRPr="00F13382">
        <w:rPr>
          <w:rFonts w:eastAsia="Calibri"/>
        </w:rPr>
        <w:t>considera</w:t>
      </w:r>
      <w:proofErr w:type="spellEnd"/>
      <w:r w:rsidRPr="00F13382">
        <w:rPr>
          <w:rFonts w:eastAsia="Calibri"/>
        </w:rPr>
        <w:t xml:space="preserve"> para la </w:t>
      </w:r>
      <w:proofErr w:type="spellStart"/>
      <w:r w:rsidRPr="00F13382">
        <w:rPr>
          <w:rFonts w:eastAsia="Calibri"/>
        </w:rPr>
        <w:t>línea</w:t>
      </w:r>
      <w:proofErr w:type="spellEnd"/>
      <w:r w:rsidRPr="00F13382">
        <w:rPr>
          <w:rFonts w:eastAsia="Calibri"/>
        </w:rPr>
        <w:t xml:space="preserve"> #2 de </w:t>
      </w:r>
      <w:proofErr w:type="spellStart"/>
      <w:r w:rsidRPr="00F13382">
        <w:rPr>
          <w:rFonts w:eastAsia="Calibri"/>
        </w:rPr>
        <w:t>jóvenes</w:t>
      </w:r>
      <w:proofErr w:type="spellEnd"/>
      <w:r w:rsidRPr="00F13382">
        <w:rPr>
          <w:rFonts w:eastAsia="Calibri"/>
        </w:rPr>
        <w:t xml:space="preserve"> entre 19/29 </w:t>
      </w:r>
      <w:proofErr w:type="spellStart"/>
      <w:r w:rsidRPr="00F13382">
        <w:rPr>
          <w:rFonts w:eastAsia="Calibri"/>
        </w:rPr>
        <w:t>años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ya</w:t>
      </w:r>
      <w:proofErr w:type="spellEnd"/>
      <w:r w:rsidRPr="00F13382">
        <w:rPr>
          <w:rFonts w:eastAsia="Calibri"/>
        </w:rPr>
        <w:t xml:space="preserve"> que, las </w:t>
      </w:r>
      <w:proofErr w:type="spellStart"/>
      <w:r w:rsidRPr="00F13382">
        <w:rPr>
          <w:rFonts w:eastAsia="Calibri"/>
        </w:rPr>
        <w:t>otras</w:t>
      </w:r>
      <w:proofErr w:type="spellEnd"/>
      <w:r w:rsidRPr="00F13382">
        <w:rPr>
          <w:rFonts w:eastAsia="Calibri"/>
        </w:rPr>
        <w:t xml:space="preserve"> dos </w:t>
      </w:r>
      <w:proofErr w:type="spellStart"/>
      <w:r w:rsidRPr="00F13382">
        <w:rPr>
          <w:rFonts w:eastAsia="Calibri"/>
        </w:rPr>
        <w:t>líneas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tienen</w:t>
      </w:r>
      <w:proofErr w:type="spellEnd"/>
      <w:r w:rsidRPr="00F13382">
        <w:rPr>
          <w:rFonts w:eastAsia="Calibri"/>
        </w:rPr>
        <w:t xml:space="preserve"> por </w:t>
      </w:r>
      <w:proofErr w:type="spellStart"/>
      <w:r w:rsidRPr="00F13382">
        <w:rPr>
          <w:rFonts w:eastAsia="Calibri"/>
        </w:rPr>
        <w:t>objetivo</w:t>
      </w:r>
      <w:proofErr w:type="spellEnd"/>
      <w:r w:rsidRPr="00F13382">
        <w:rPr>
          <w:rFonts w:eastAsia="Calibri"/>
        </w:rPr>
        <w:t xml:space="preserve"> fundamental </w:t>
      </w:r>
      <w:proofErr w:type="spellStart"/>
      <w:r w:rsidRPr="00F13382">
        <w:rPr>
          <w:rFonts w:eastAsia="Calibri"/>
        </w:rPr>
        <w:t>instalar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capacidades</w:t>
      </w:r>
      <w:proofErr w:type="spellEnd"/>
      <w:r w:rsidRPr="00F13382">
        <w:rPr>
          <w:rFonts w:eastAsia="Calibri"/>
        </w:rPr>
        <w:t xml:space="preserve"> y </w:t>
      </w:r>
      <w:proofErr w:type="spellStart"/>
      <w:r w:rsidRPr="00F13382">
        <w:rPr>
          <w:rFonts w:eastAsia="Calibri"/>
        </w:rPr>
        <w:t>herramientas</w:t>
      </w:r>
      <w:proofErr w:type="spellEnd"/>
      <w:r w:rsidRPr="00F13382">
        <w:rPr>
          <w:rFonts w:eastAsia="Calibri"/>
        </w:rPr>
        <w:t xml:space="preserve"> para los </w:t>
      </w:r>
      <w:proofErr w:type="spellStart"/>
      <w:r w:rsidRPr="00F13382">
        <w:rPr>
          <w:rFonts w:eastAsia="Calibri"/>
        </w:rPr>
        <w:t>jóvenes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donde</w:t>
      </w:r>
      <w:proofErr w:type="spellEnd"/>
      <w:r w:rsidRPr="00F13382">
        <w:rPr>
          <w:rFonts w:eastAsia="Calibri"/>
        </w:rPr>
        <w:t xml:space="preserve"> es probable que no se </w:t>
      </w:r>
      <w:proofErr w:type="spellStart"/>
      <w:r w:rsidRPr="00F13382">
        <w:rPr>
          <w:rFonts w:eastAsia="Calibri"/>
        </w:rPr>
        <w:t>desarrollen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proyectos</w:t>
      </w:r>
      <w:proofErr w:type="spellEnd"/>
      <w:r w:rsidRPr="00F13382">
        <w:rPr>
          <w:rFonts w:eastAsia="Calibri"/>
        </w:rPr>
        <w:t xml:space="preserve"> con </w:t>
      </w:r>
      <w:proofErr w:type="spellStart"/>
      <w:r w:rsidRPr="00F13382">
        <w:rPr>
          <w:rFonts w:eastAsia="Calibri"/>
        </w:rPr>
        <w:t>escalabilidad</w:t>
      </w:r>
      <w:proofErr w:type="spellEnd"/>
      <w:r w:rsidRPr="00F13382">
        <w:rPr>
          <w:rFonts w:eastAsia="Calibri"/>
        </w:rPr>
        <w:t xml:space="preserve">. </w:t>
      </w:r>
      <w:proofErr w:type="spellStart"/>
      <w:r w:rsidRPr="00F13382">
        <w:rPr>
          <w:rFonts w:eastAsia="Calibri"/>
        </w:rPr>
        <w:t>Adicionalmente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busca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eficiencia</w:t>
      </w:r>
      <w:proofErr w:type="spellEnd"/>
      <w:r w:rsidRPr="00F13382">
        <w:rPr>
          <w:rFonts w:eastAsia="Calibri"/>
        </w:rPr>
        <w:t xml:space="preserve"> del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tomando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consideración</w:t>
      </w:r>
      <w:proofErr w:type="spellEnd"/>
      <w:r w:rsidRPr="00F13382">
        <w:rPr>
          <w:rFonts w:eastAsia="Calibri"/>
        </w:rPr>
        <w:t xml:space="preserve"> la </w:t>
      </w:r>
      <w:proofErr w:type="spellStart"/>
      <w:r w:rsidRPr="00F13382">
        <w:rPr>
          <w:rFonts w:eastAsia="Calibri"/>
        </w:rPr>
        <w:t>experiencia</w:t>
      </w:r>
      <w:proofErr w:type="spellEnd"/>
      <w:r w:rsidRPr="00F13382">
        <w:rPr>
          <w:rFonts w:eastAsia="Calibri"/>
        </w:rPr>
        <w:t xml:space="preserve"> 2020, el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mentoría</w:t>
      </w:r>
      <w:proofErr w:type="spellEnd"/>
      <w:r w:rsidRPr="00F13382">
        <w:rPr>
          <w:rFonts w:eastAsia="Calibri"/>
        </w:rPr>
        <w:t xml:space="preserve"> se </w:t>
      </w:r>
      <w:proofErr w:type="spellStart"/>
      <w:r w:rsidRPr="00F13382">
        <w:rPr>
          <w:rFonts w:eastAsia="Calibri"/>
        </w:rPr>
        <w:t>desarrollará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un </w:t>
      </w:r>
      <w:proofErr w:type="spellStart"/>
      <w:r w:rsidRPr="00F13382">
        <w:rPr>
          <w:rFonts w:eastAsia="Calibri"/>
        </w:rPr>
        <w:t>menor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tiempo</w:t>
      </w:r>
      <w:proofErr w:type="spellEnd"/>
      <w:r w:rsidRPr="00F13382">
        <w:rPr>
          <w:rFonts w:eastAsia="Calibri"/>
        </w:rPr>
        <w:t xml:space="preserve">, lo </w:t>
      </w:r>
      <w:proofErr w:type="spellStart"/>
      <w:r w:rsidRPr="00F13382">
        <w:rPr>
          <w:rFonts w:eastAsia="Calibri"/>
        </w:rPr>
        <w:t>cual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implicará</w:t>
      </w:r>
      <w:proofErr w:type="spellEnd"/>
      <w:r w:rsidRPr="00F13382">
        <w:rPr>
          <w:rFonts w:eastAsia="Calibri"/>
        </w:rPr>
        <w:t xml:space="preserve"> que los/las </w:t>
      </w:r>
      <w:proofErr w:type="spellStart"/>
      <w:r w:rsidRPr="00F13382">
        <w:rPr>
          <w:rFonts w:eastAsia="Calibri"/>
        </w:rPr>
        <w:t>jóvenes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recibirán</w:t>
      </w:r>
      <w:proofErr w:type="spellEnd"/>
      <w:r w:rsidRPr="00F13382">
        <w:rPr>
          <w:rFonts w:eastAsia="Calibri"/>
        </w:rPr>
        <w:t xml:space="preserve"> las </w:t>
      </w:r>
      <w:proofErr w:type="spellStart"/>
      <w:r w:rsidRPr="00F13382">
        <w:rPr>
          <w:rFonts w:eastAsia="Calibri"/>
        </w:rPr>
        <w:t>mentorías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en</w:t>
      </w:r>
      <w:proofErr w:type="spellEnd"/>
      <w:r w:rsidRPr="00F13382">
        <w:rPr>
          <w:rFonts w:eastAsia="Calibri"/>
        </w:rPr>
        <w:t xml:space="preserve"> un </w:t>
      </w:r>
      <w:proofErr w:type="spellStart"/>
      <w:r w:rsidRPr="00F13382">
        <w:rPr>
          <w:rFonts w:eastAsia="Calibri"/>
        </w:rPr>
        <w:t>mes</w:t>
      </w:r>
      <w:proofErr w:type="spellEnd"/>
      <w:r w:rsidRPr="00F13382">
        <w:rPr>
          <w:rFonts w:eastAsia="Calibri"/>
        </w:rPr>
        <w:t xml:space="preserve">, </w:t>
      </w:r>
      <w:proofErr w:type="spellStart"/>
      <w:r w:rsidRPr="00F13382">
        <w:rPr>
          <w:rFonts w:eastAsia="Calibri"/>
        </w:rPr>
        <w:t>luego</w:t>
      </w:r>
      <w:proofErr w:type="spellEnd"/>
      <w:r w:rsidRPr="00F13382">
        <w:rPr>
          <w:rFonts w:eastAsia="Calibri"/>
        </w:rPr>
        <w:t xml:space="preserve"> de </w:t>
      </w:r>
      <w:proofErr w:type="spellStart"/>
      <w:r w:rsidRPr="00F13382">
        <w:rPr>
          <w:rFonts w:eastAsia="Calibri"/>
        </w:rPr>
        <w:t>haber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superado</w:t>
      </w:r>
      <w:proofErr w:type="spellEnd"/>
      <w:r w:rsidRPr="00F13382">
        <w:rPr>
          <w:rFonts w:eastAsia="Calibri"/>
        </w:rPr>
        <w:t xml:space="preserve"> la </w:t>
      </w:r>
      <w:proofErr w:type="spellStart"/>
      <w:r w:rsidRPr="00F13382">
        <w:rPr>
          <w:rFonts w:eastAsia="Calibri"/>
        </w:rPr>
        <w:t>primera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mitad</w:t>
      </w:r>
      <w:proofErr w:type="spellEnd"/>
      <w:r w:rsidRPr="00F13382">
        <w:rPr>
          <w:rFonts w:eastAsia="Calibri"/>
        </w:rPr>
        <w:t xml:space="preserve"> del </w:t>
      </w:r>
      <w:proofErr w:type="spellStart"/>
      <w:r w:rsidRPr="00F13382">
        <w:rPr>
          <w:rFonts w:eastAsia="Calibri"/>
        </w:rPr>
        <w:t>proceso</w:t>
      </w:r>
      <w:proofErr w:type="spellEnd"/>
      <w:r w:rsidRPr="00F13382">
        <w:rPr>
          <w:rFonts w:eastAsia="Calibri"/>
        </w:rPr>
        <w:t xml:space="preserve"> </w:t>
      </w:r>
      <w:proofErr w:type="spellStart"/>
      <w:r w:rsidRPr="00F13382">
        <w:rPr>
          <w:rFonts w:eastAsia="Calibri"/>
        </w:rPr>
        <w:t>formativo</w:t>
      </w:r>
      <w:proofErr w:type="spellEnd"/>
      <w:r w:rsidRPr="00F13382">
        <w:rPr>
          <w:rFonts w:eastAsia="Calibri"/>
        </w:rPr>
        <w:t xml:space="preserve"> de Mi </w:t>
      </w:r>
      <w:proofErr w:type="spellStart"/>
      <w:r w:rsidRPr="00F13382">
        <w:rPr>
          <w:rFonts w:eastAsia="Calibri"/>
        </w:rPr>
        <w:t>Emprendimiento</w:t>
      </w:r>
      <w:proofErr w:type="spellEnd"/>
      <w:r>
        <w:rPr>
          <w:rFonts w:eastAsia="Calibri"/>
        </w:rPr>
        <w:t xml:space="preserve">. </w:t>
      </w:r>
    </w:p>
    <w:p w14:paraId="762EA810" w14:textId="77777777" w:rsidR="00DF7314" w:rsidRDefault="00DF7314" w:rsidP="00DF7314">
      <w:pPr>
        <w:jc w:val="both"/>
        <w:rPr>
          <w:rFonts w:eastAsia="Calibri"/>
        </w:rPr>
      </w:pPr>
    </w:p>
    <w:p w14:paraId="76F26B50" w14:textId="77777777" w:rsidR="00DF7314" w:rsidRDefault="00DF7314" w:rsidP="00DF7314">
      <w:pPr>
        <w:jc w:val="both"/>
        <w:rPr>
          <w:rFonts w:eastAsia="Calibri"/>
        </w:rPr>
      </w:pPr>
    </w:p>
    <w:p w14:paraId="4D0BE5DB" w14:textId="77777777" w:rsidR="00DF7314" w:rsidRDefault="00DF7314" w:rsidP="00DF7314">
      <w:pPr>
        <w:jc w:val="both"/>
        <w:rPr>
          <w:rFonts w:eastAsia="Calibri"/>
        </w:rPr>
      </w:pPr>
    </w:p>
    <w:p w14:paraId="5C7DDDE5" w14:textId="77777777" w:rsidR="00DF7314" w:rsidRDefault="00DF7314" w:rsidP="00DF7314">
      <w:pPr>
        <w:jc w:val="both"/>
        <w:rPr>
          <w:rFonts w:ascii="Calibri" w:eastAsia="Calibri" w:hAnsi="Calibri" w:cs="Calibri"/>
        </w:rPr>
      </w:pPr>
    </w:p>
    <w:p w14:paraId="63B68423" w14:textId="77777777" w:rsidR="00DF7314" w:rsidRPr="00E5143E" w:rsidRDefault="00DF7314" w:rsidP="00DF73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b/>
        </w:rPr>
      </w:pPr>
      <w:r w:rsidRPr="00E5143E">
        <w:rPr>
          <w:rFonts w:ascii="Calibri" w:eastAsia="Calibri" w:hAnsi="Calibri" w:cs="Calibri"/>
          <w:b/>
        </w:rPr>
        <w:t xml:space="preserve">Metas </w:t>
      </w:r>
      <w:proofErr w:type="spellStart"/>
      <w:r w:rsidRPr="00E5143E">
        <w:rPr>
          <w:rFonts w:ascii="Calibri" w:eastAsia="Calibri" w:hAnsi="Calibri" w:cs="Calibri"/>
          <w:b/>
        </w:rPr>
        <w:t>componente</w:t>
      </w:r>
      <w:proofErr w:type="spellEnd"/>
      <w:r w:rsidRPr="00E5143E">
        <w:rPr>
          <w:rFonts w:ascii="Calibri" w:eastAsia="Calibri" w:hAnsi="Calibri" w:cs="Calibri"/>
          <w:b/>
        </w:rPr>
        <w:t xml:space="preserve"> 1: </w:t>
      </w:r>
    </w:p>
    <w:tbl>
      <w:tblPr>
        <w:tblW w:w="881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4"/>
        <w:gridCol w:w="2204"/>
        <w:gridCol w:w="2205"/>
        <w:gridCol w:w="2205"/>
      </w:tblGrid>
      <w:tr w:rsidR="00DF7314" w:rsidRPr="005F2BA9" w14:paraId="5DCD714B" w14:textId="77777777" w:rsidTr="00DF7314">
        <w:trPr>
          <w:trHeight w:val="614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2CC5" w14:textId="77777777" w:rsidR="00DF7314" w:rsidRPr="00E5143E" w:rsidRDefault="00DF7314" w:rsidP="00DF731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CL"/>
              </w:rPr>
            </w:pPr>
            <w:r w:rsidRPr="00E5143E">
              <w:rPr>
                <w:b/>
                <w:bCs/>
                <w:sz w:val="24"/>
                <w:szCs w:val="24"/>
                <w:lang w:val="es-CL"/>
              </w:rPr>
              <w:t>Región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A7DA6" w14:textId="77777777" w:rsidR="00DF7314" w:rsidRPr="005F2BA9" w:rsidRDefault="00DF7314" w:rsidP="00DF7314">
            <w:pPr>
              <w:jc w:val="center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Mi Emprendimiento 15/18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31B5B" w14:textId="77777777" w:rsidR="00DF7314" w:rsidRPr="005F2BA9" w:rsidRDefault="00DF7314" w:rsidP="00DF7314">
            <w:pPr>
              <w:jc w:val="center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Mi Emprendimiento 18/29**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D2190" w14:textId="77777777" w:rsidR="00DF7314" w:rsidRPr="005F2BA9" w:rsidRDefault="00DF7314" w:rsidP="00DF7314">
            <w:pPr>
              <w:jc w:val="center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 xml:space="preserve">Mi Emprendimiento </w:t>
            </w:r>
            <w:proofErr w:type="spellStart"/>
            <w:r w:rsidRPr="005F2BA9">
              <w:rPr>
                <w:b/>
                <w:bCs/>
                <w:sz w:val="24"/>
                <w:szCs w:val="24"/>
                <w:lang w:val="es-CL"/>
              </w:rPr>
              <w:t>Vul</w:t>
            </w:r>
            <w:proofErr w:type="spellEnd"/>
            <w:r w:rsidRPr="005F2BA9">
              <w:rPr>
                <w:b/>
                <w:bCs/>
                <w:sz w:val="24"/>
                <w:szCs w:val="24"/>
                <w:lang w:val="es-CL"/>
              </w:rPr>
              <w:t>.</w:t>
            </w:r>
          </w:p>
        </w:tc>
      </w:tr>
      <w:tr w:rsidR="00DF7314" w:rsidRPr="005F2BA9" w14:paraId="7B7C3A6F" w14:textId="77777777" w:rsidTr="00DF7314">
        <w:trPr>
          <w:trHeight w:val="325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3E3D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Tarapacá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6488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29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7BFD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A76CC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DF7314" w:rsidRPr="005F2BA9" w14:paraId="64811589" w14:textId="77777777" w:rsidTr="00DF7314">
        <w:trPr>
          <w:trHeight w:val="243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BBB8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Maule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06460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Calibri" w:cs="Calibri"/>
                <w:color w:val="000000" w:themeColor="text1"/>
                <w:kern w:val="24"/>
                <w:sz w:val="28"/>
                <w:szCs w:val="28"/>
              </w:rPr>
              <w:t>46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8B40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35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99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16</w:t>
            </w:r>
          </w:p>
        </w:tc>
      </w:tr>
      <w:tr w:rsidR="00DF7314" w:rsidRPr="005F2BA9" w14:paraId="7FEF3607" w14:textId="77777777" w:rsidTr="00DF7314">
        <w:trPr>
          <w:trHeight w:val="243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285F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 xml:space="preserve">Bio </w:t>
            </w:r>
            <w:proofErr w:type="spellStart"/>
            <w:r w:rsidRPr="005F2BA9">
              <w:rPr>
                <w:b/>
                <w:bCs/>
                <w:sz w:val="24"/>
                <w:szCs w:val="24"/>
                <w:lang w:val="es-CL"/>
              </w:rPr>
              <w:t>Bio</w:t>
            </w:r>
            <w:proofErr w:type="spellEnd"/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AB2A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kern w:val="24"/>
                <w:sz w:val="28"/>
                <w:szCs w:val="28"/>
              </w:rPr>
              <w:t>45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3E40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41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0ED7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29</w:t>
            </w:r>
          </w:p>
        </w:tc>
      </w:tr>
      <w:tr w:rsidR="00DF7314" w:rsidRPr="005F2BA9" w14:paraId="39476ADC" w14:textId="77777777" w:rsidTr="00DF7314">
        <w:trPr>
          <w:trHeight w:val="243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A847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La Araucanía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577A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Calibri" w:cs="Calibri"/>
                <w:color w:val="000000" w:themeColor="text1"/>
                <w:kern w:val="24"/>
                <w:sz w:val="28"/>
                <w:szCs w:val="28"/>
              </w:rPr>
              <w:t>46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B930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37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1466C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</w:tr>
      <w:tr w:rsidR="00DF7314" w:rsidRPr="005F2BA9" w14:paraId="08C48BD9" w14:textId="77777777" w:rsidTr="00DF7314">
        <w:trPr>
          <w:trHeight w:val="255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5AA9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Aysén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1A59E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24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55EC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C0911" w14:textId="77777777" w:rsidR="00DF7314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</w:tr>
      <w:tr w:rsidR="00DF7314" w:rsidRPr="005F2BA9" w14:paraId="71D6E884" w14:textId="77777777" w:rsidTr="00DF7314">
        <w:trPr>
          <w:trHeight w:val="255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5BFEC" w14:textId="77777777" w:rsidR="00DF7314" w:rsidRPr="005F2BA9" w:rsidRDefault="00DF7314" w:rsidP="00DF7314">
            <w:p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SUBTOTALES</w:t>
            </w:r>
          </w:p>
        </w:tc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0B47F" w14:textId="77777777" w:rsidR="00DF7314" w:rsidRPr="005F2BA9" w:rsidRDefault="00DF7314" w:rsidP="00DF7314">
            <w:pPr>
              <w:spacing w:after="0" w:line="240" w:lineRule="auto"/>
              <w:jc w:val="right"/>
              <w:rPr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190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5E66" w14:textId="77777777" w:rsidR="00DF7314" w:rsidRPr="005F2BA9" w:rsidRDefault="00DF7314" w:rsidP="00DF7314">
            <w:pPr>
              <w:spacing w:after="0" w:line="240" w:lineRule="auto"/>
              <w:jc w:val="right"/>
              <w:rPr>
                <w:sz w:val="24"/>
                <w:szCs w:val="24"/>
                <w:lang w:val="es-CL"/>
              </w:rPr>
            </w:pPr>
            <w:r w:rsidRPr="005F2BA9">
              <w:rPr>
                <w:b/>
                <w:bCs/>
                <w:sz w:val="24"/>
                <w:szCs w:val="24"/>
                <w:lang w:val="es-CL"/>
              </w:rPr>
              <w:t>205*</w:t>
            </w:r>
          </w:p>
        </w:tc>
        <w:tc>
          <w:tcPr>
            <w:tcW w:w="2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76F54" w14:textId="77777777" w:rsidR="00DF7314" w:rsidRPr="005F2BA9" w:rsidRDefault="00DF7314" w:rsidP="00DF7314">
            <w:pPr>
              <w:spacing w:after="0" w:line="240" w:lineRule="auto"/>
              <w:jc w:val="right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80</w:t>
            </w:r>
          </w:p>
        </w:tc>
      </w:tr>
      <w:tr w:rsidR="00DF7314" w:rsidRPr="005F2BA9" w14:paraId="03E048B2" w14:textId="77777777" w:rsidTr="00DF7314">
        <w:trPr>
          <w:trHeight w:val="255"/>
          <w:jc w:val="center"/>
        </w:trPr>
        <w:tc>
          <w:tcPr>
            <w:tcW w:w="22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30B95" w14:textId="77777777" w:rsidR="00DF7314" w:rsidRPr="005F2BA9" w:rsidRDefault="00DF7314" w:rsidP="00DF731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Total</w:t>
            </w:r>
          </w:p>
        </w:tc>
        <w:tc>
          <w:tcPr>
            <w:tcW w:w="661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0483D" w14:textId="77777777" w:rsidR="00DF7314" w:rsidRPr="005F2BA9" w:rsidRDefault="00DF7314" w:rsidP="00DF731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480</w:t>
            </w:r>
          </w:p>
        </w:tc>
      </w:tr>
    </w:tbl>
    <w:p w14:paraId="4E5183F1" w14:textId="77777777" w:rsidR="00DF7314" w:rsidRDefault="00DF7314" w:rsidP="00DF7314">
      <w:pPr>
        <w:spacing w:after="0" w:line="240" w:lineRule="auto"/>
        <w:jc w:val="both"/>
        <w:rPr>
          <w:bCs/>
          <w:sz w:val="20"/>
          <w:szCs w:val="24"/>
          <w:lang w:val="es-CL"/>
        </w:rPr>
      </w:pPr>
      <w:r w:rsidRPr="005F2BA9">
        <w:rPr>
          <w:bCs/>
          <w:sz w:val="20"/>
          <w:szCs w:val="24"/>
          <w:lang w:val="es-CL"/>
        </w:rPr>
        <w:t xml:space="preserve">* Se darán 5 cupos para las 11 regiones restantes sin </w:t>
      </w:r>
      <w:proofErr w:type="spellStart"/>
      <w:r w:rsidRPr="005F2BA9">
        <w:rPr>
          <w:bCs/>
          <w:sz w:val="20"/>
          <w:szCs w:val="24"/>
          <w:lang w:val="es-CL"/>
        </w:rPr>
        <w:t>INHub</w:t>
      </w:r>
      <w:proofErr w:type="spellEnd"/>
    </w:p>
    <w:p w14:paraId="283FA5FE" w14:textId="77777777" w:rsidR="00DF7314" w:rsidRDefault="00DF7314" w:rsidP="00DF7314">
      <w:pPr>
        <w:spacing w:after="0" w:line="240" w:lineRule="auto"/>
        <w:jc w:val="both"/>
        <w:rPr>
          <w:bCs/>
          <w:sz w:val="20"/>
          <w:szCs w:val="24"/>
          <w:lang w:val="es-CL"/>
        </w:rPr>
      </w:pPr>
      <w:r w:rsidRPr="005F2BA9">
        <w:rPr>
          <w:bCs/>
          <w:sz w:val="20"/>
          <w:szCs w:val="24"/>
          <w:lang w:val="es-CL"/>
        </w:rPr>
        <w:t>**La suma de la met</w:t>
      </w:r>
      <w:r>
        <w:rPr>
          <w:bCs/>
          <w:sz w:val="20"/>
          <w:szCs w:val="24"/>
          <w:lang w:val="es-CL"/>
        </w:rPr>
        <w:t xml:space="preserve">a para regiones con </w:t>
      </w:r>
      <w:proofErr w:type="spellStart"/>
      <w:r>
        <w:rPr>
          <w:bCs/>
          <w:sz w:val="20"/>
          <w:szCs w:val="24"/>
          <w:lang w:val="es-CL"/>
        </w:rPr>
        <w:t>INHub</w:t>
      </w:r>
      <w:proofErr w:type="spellEnd"/>
      <w:r>
        <w:rPr>
          <w:bCs/>
          <w:sz w:val="20"/>
          <w:szCs w:val="24"/>
          <w:lang w:val="es-CL"/>
        </w:rPr>
        <w:t xml:space="preserve"> es 150 que sumada con los 55 cupos para las otras regiones da 205 en total. </w:t>
      </w:r>
    </w:p>
    <w:p w14:paraId="2CCFDB44" w14:textId="77777777" w:rsidR="00DF7314" w:rsidRDefault="00DF7314" w:rsidP="00DF7314">
      <w:pPr>
        <w:jc w:val="both"/>
        <w:rPr>
          <w:b/>
          <w:sz w:val="24"/>
          <w:szCs w:val="24"/>
        </w:rPr>
      </w:pPr>
    </w:p>
    <w:p w14:paraId="3D1B78F3" w14:textId="77777777" w:rsidR="00DF7314" w:rsidRDefault="00DF7314" w:rsidP="00DF7314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Componente</w:t>
      </w:r>
      <w:proofErr w:type="spellEnd"/>
      <w:r>
        <w:rPr>
          <w:b/>
          <w:sz w:val="24"/>
          <w:szCs w:val="24"/>
        </w:rPr>
        <w:t xml:space="preserve"> 2. Casa Taller</w:t>
      </w:r>
      <w:r>
        <w:rPr>
          <w:sz w:val="24"/>
          <w:szCs w:val="24"/>
        </w:rPr>
        <w:t xml:space="preserve"> (</w:t>
      </w:r>
      <w:r>
        <w:rPr>
          <w:rFonts w:eastAsia="Calibri"/>
          <w:color w:val="000000"/>
          <w:sz w:val="24"/>
          <w:szCs w:val="24"/>
        </w:rPr>
        <w:t xml:space="preserve">Laboral, </w:t>
      </w:r>
      <w:proofErr w:type="spellStart"/>
      <w:r>
        <w:rPr>
          <w:rFonts w:eastAsia="Calibri"/>
          <w:color w:val="000000"/>
          <w:sz w:val="24"/>
          <w:szCs w:val="24"/>
        </w:rPr>
        <w:t>Vocacional</w:t>
      </w:r>
      <w:proofErr w:type="spellEnd"/>
      <w:r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/>
          <w:color w:val="000000"/>
          <w:sz w:val="24"/>
          <w:szCs w:val="24"/>
        </w:rPr>
        <w:t>Emprendimiento</w:t>
      </w:r>
      <w:proofErr w:type="spellEnd"/>
      <w:r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/>
          <w:color w:val="000000"/>
          <w:sz w:val="24"/>
          <w:szCs w:val="24"/>
        </w:rPr>
        <w:t>Innovación</w:t>
      </w:r>
      <w:proofErr w:type="spellEnd"/>
      <w:r>
        <w:rPr>
          <w:sz w:val="24"/>
          <w:szCs w:val="24"/>
        </w:rPr>
        <w:t xml:space="preserve">): </w:t>
      </w:r>
    </w:p>
    <w:p w14:paraId="61FBD36C" w14:textId="77777777" w:rsidR="00DF7314" w:rsidRDefault="00DF7314" w:rsidP="00DF7314">
      <w:pPr>
        <w:spacing w:after="0" w:line="240" w:lineRule="auto"/>
        <w:jc w:val="both"/>
        <w:rPr>
          <w:rFonts w:eastAsia="Calibri"/>
        </w:rPr>
      </w:pPr>
      <w:r w:rsidRPr="00163551">
        <w:rPr>
          <w:rFonts w:eastAsia="Calibri"/>
        </w:rPr>
        <w:t xml:space="preserve">Este </w:t>
      </w:r>
      <w:proofErr w:type="spellStart"/>
      <w:r w:rsidRPr="00163551">
        <w:rPr>
          <w:rFonts w:eastAsia="Calibri"/>
        </w:rPr>
        <w:t>componente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tendrá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oferta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programática</w:t>
      </w:r>
      <w:proofErr w:type="spellEnd"/>
      <w:r w:rsidRPr="00163551">
        <w:rPr>
          <w:rFonts w:eastAsia="Calibri"/>
        </w:rPr>
        <w:t xml:space="preserve"> con la </w:t>
      </w:r>
      <w:proofErr w:type="spellStart"/>
      <w:r w:rsidRPr="00163551">
        <w:rPr>
          <w:rFonts w:eastAsia="Calibri"/>
        </w:rPr>
        <w:t>cual</w:t>
      </w:r>
      <w:proofErr w:type="spellEnd"/>
      <w:r w:rsidRPr="00163551">
        <w:rPr>
          <w:rFonts w:eastAsia="Calibri"/>
        </w:rPr>
        <w:t xml:space="preserve"> los </w:t>
      </w:r>
      <w:proofErr w:type="spellStart"/>
      <w:r w:rsidRPr="00163551">
        <w:rPr>
          <w:rFonts w:eastAsia="Calibri"/>
        </w:rPr>
        <w:t>jóvenes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podrán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formarse</w:t>
      </w:r>
      <w:proofErr w:type="spellEnd"/>
      <w:r w:rsidRPr="00163551">
        <w:rPr>
          <w:rFonts w:eastAsia="Calibri"/>
        </w:rPr>
        <w:t xml:space="preserve"> y </w:t>
      </w:r>
      <w:proofErr w:type="spellStart"/>
      <w:r w:rsidRPr="00163551">
        <w:rPr>
          <w:rFonts w:eastAsia="Calibri"/>
        </w:rPr>
        <w:t>adquirir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herramientas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en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distintas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áreas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relacionadas</w:t>
      </w:r>
      <w:proofErr w:type="spellEnd"/>
      <w:r w:rsidRPr="00163551">
        <w:rPr>
          <w:rFonts w:eastAsia="Calibri"/>
        </w:rPr>
        <w:t xml:space="preserve"> con </w:t>
      </w:r>
      <w:proofErr w:type="spellStart"/>
      <w:r w:rsidRPr="00163551">
        <w:rPr>
          <w:rFonts w:eastAsia="Calibri"/>
        </w:rPr>
        <w:t>aspectos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laborales</w:t>
      </w:r>
      <w:proofErr w:type="spellEnd"/>
      <w:r w:rsidRPr="00163551">
        <w:rPr>
          <w:rFonts w:eastAsia="Calibri"/>
        </w:rPr>
        <w:t xml:space="preserve">, </w:t>
      </w:r>
      <w:proofErr w:type="spellStart"/>
      <w:r w:rsidRPr="00163551">
        <w:rPr>
          <w:rFonts w:eastAsia="Calibri"/>
        </w:rPr>
        <w:t>vocacionales</w:t>
      </w:r>
      <w:proofErr w:type="spellEnd"/>
      <w:r w:rsidRPr="00163551">
        <w:rPr>
          <w:rFonts w:eastAsia="Calibri"/>
        </w:rPr>
        <w:t xml:space="preserve"> y del </w:t>
      </w:r>
      <w:proofErr w:type="spellStart"/>
      <w:r w:rsidRPr="00163551">
        <w:rPr>
          <w:rFonts w:eastAsia="Calibri"/>
        </w:rPr>
        <w:t>emprendimiento</w:t>
      </w:r>
      <w:proofErr w:type="spellEnd"/>
      <w:r w:rsidRPr="00163551">
        <w:rPr>
          <w:rFonts w:eastAsia="Calibri"/>
        </w:rPr>
        <w:t xml:space="preserve">. </w:t>
      </w:r>
    </w:p>
    <w:p w14:paraId="14EACB93" w14:textId="77777777" w:rsidR="00DF7314" w:rsidRDefault="00DF7314" w:rsidP="00DF7314">
      <w:pPr>
        <w:spacing w:after="0" w:line="240" w:lineRule="auto"/>
        <w:jc w:val="both"/>
        <w:rPr>
          <w:rFonts w:eastAsia="Calibri"/>
        </w:rPr>
      </w:pPr>
    </w:p>
    <w:p w14:paraId="0E908B1D" w14:textId="77777777" w:rsidR="00DF7314" w:rsidRDefault="00DF7314" w:rsidP="00DF7314">
      <w:pPr>
        <w:jc w:val="both"/>
        <w:rPr>
          <w:rFonts w:eastAsia="Calibri"/>
        </w:rPr>
      </w:pPr>
      <w:r w:rsidRPr="00163551">
        <w:rPr>
          <w:rFonts w:eastAsia="Calibri"/>
        </w:rPr>
        <w:t xml:space="preserve">La </w:t>
      </w:r>
      <w:proofErr w:type="spellStart"/>
      <w:r w:rsidRPr="00163551">
        <w:rPr>
          <w:rFonts w:eastAsia="Calibri"/>
        </w:rPr>
        <w:t>oferta</w:t>
      </w:r>
      <w:proofErr w:type="spellEnd"/>
      <w:r w:rsidRPr="00163551">
        <w:rPr>
          <w:rFonts w:eastAsia="Calibri"/>
        </w:rPr>
        <w:t xml:space="preserve"> de </w:t>
      </w:r>
      <w:proofErr w:type="spellStart"/>
      <w:r w:rsidRPr="00163551">
        <w:rPr>
          <w:rFonts w:eastAsia="Calibri"/>
        </w:rPr>
        <w:t>este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componente</w:t>
      </w:r>
      <w:proofErr w:type="spellEnd"/>
      <w:r w:rsidRPr="00163551">
        <w:rPr>
          <w:rFonts w:eastAsia="Calibri"/>
        </w:rPr>
        <w:t xml:space="preserve"> se </w:t>
      </w:r>
      <w:proofErr w:type="spellStart"/>
      <w:r w:rsidRPr="00163551">
        <w:rPr>
          <w:rFonts w:eastAsia="Calibri"/>
        </w:rPr>
        <w:t>definirá</w:t>
      </w:r>
      <w:proofErr w:type="spellEnd"/>
      <w:r w:rsidRPr="00163551">
        <w:rPr>
          <w:rFonts w:eastAsia="Calibri"/>
        </w:rPr>
        <w:t xml:space="preserve"> con base </w:t>
      </w:r>
      <w:proofErr w:type="spellStart"/>
      <w:r w:rsidRPr="00163551">
        <w:rPr>
          <w:rFonts w:eastAsia="Calibri"/>
        </w:rPr>
        <w:t>en</w:t>
      </w:r>
      <w:proofErr w:type="spellEnd"/>
      <w:r w:rsidRPr="00163551">
        <w:rPr>
          <w:rFonts w:eastAsia="Calibri"/>
        </w:rPr>
        <w:t xml:space="preserve"> el </w:t>
      </w:r>
      <w:proofErr w:type="spellStart"/>
      <w:r w:rsidRPr="00163551">
        <w:rPr>
          <w:rFonts w:eastAsia="Calibri"/>
        </w:rPr>
        <w:t>diagnóstico</w:t>
      </w:r>
      <w:proofErr w:type="spellEnd"/>
      <w:r w:rsidRPr="00163551">
        <w:rPr>
          <w:rFonts w:eastAsia="Calibri"/>
        </w:rPr>
        <w:t xml:space="preserve"> de </w:t>
      </w:r>
      <w:proofErr w:type="spellStart"/>
      <w:r w:rsidRPr="00163551">
        <w:rPr>
          <w:rFonts w:eastAsia="Calibri"/>
        </w:rPr>
        <w:t>necesidades</w:t>
      </w:r>
      <w:proofErr w:type="spellEnd"/>
      <w:r w:rsidRPr="00163551">
        <w:rPr>
          <w:rFonts w:eastAsia="Calibri"/>
        </w:rPr>
        <w:t xml:space="preserve"> de las </w:t>
      </w:r>
      <w:proofErr w:type="spellStart"/>
      <w:r w:rsidRPr="00163551">
        <w:rPr>
          <w:rFonts w:eastAsia="Calibri"/>
        </w:rPr>
        <w:t>juventudes</w:t>
      </w:r>
      <w:proofErr w:type="spellEnd"/>
      <w:r w:rsidRPr="00163551">
        <w:rPr>
          <w:rFonts w:eastAsia="Calibri"/>
        </w:rPr>
        <w:t xml:space="preserve">, y los </w:t>
      </w:r>
      <w:proofErr w:type="spellStart"/>
      <w:r w:rsidRPr="00163551">
        <w:rPr>
          <w:rFonts w:eastAsia="Calibri"/>
        </w:rPr>
        <w:t>lineamientos</w:t>
      </w:r>
      <w:proofErr w:type="spellEnd"/>
      <w:r w:rsidRPr="00163551">
        <w:rPr>
          <w:rFonts w:eastAsia="Calibri"/>
        </w:rPr>
        <w:t xml:space="preserve"> que se </w:t>
      </w:r>
      <w:proofErr w:type="spellStart"/>
      <w:r w:rsidRPr="00163551">
        <w:rPr>
          <w:rFonts w:eastAsia="Calibri"/>
        </w:rPr>
        <w:t>tengan</w:t>
      </w:r>
      <w:proofErr w:type="spellEnd"/>
      <w:r w:rsidRPr="00163551">
        <w:rPr>
          <w:rFonts w:eastAsia="Calibri"/>
        </w:rPr>
        <w:t xml:space="preserve"> a </w:t>
      </w:r>
      <w:proofErr w:type="spellStart"/>
      <w:r w:rsidRPr="00163551">
        <w:rPr>
          <w:rFonts w:eastAsia="Calibri"/>
        </w:rPr>
        <w:t>nivel</w:t>
      </w:r>
      <w:proofErr w:type="spellEnd"/>
      <w:r w:rsidRPr="00163551">
        <w:rPr>
          <w:rFonts w:eastAsia="Calibri"/>
        </w:rPr>
        <w:t xml:space="preserve"> de </w:t>
      </w:r>
      <w:proofErr w:type="spellStart"/>
      <w:r w:rsidRPr="00163551">
        <w:rPr>
          <w:rFonts w:eastAsia="Calibri"/>
        </w:rPr>
        <w:t>políticas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públicas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nacionales</w:t>
      </w:r>
      <w:proofErr w:type="spellEnd"/>
      <w:r w:rsidRPr="00163551">
        <w:rPr>
          <w:rFonts w:eastAsia="Calibri"/>
        </w:rPr>
        <w:t xml:space="preserve"> y </w:t>
      </w:r>
      <w:proofErr w:type="spellStart"/>
      <w:r w:rsidRPr="00163551">
        <w:rPr>
          <w:rFonts w:eastAsia="Calibri"/>
        </w:rPr>
        <w:t>regionales</w:t>
      </w:r>
      <w:proofErr w:type="spellEnd"/>
      <w:r w:rsidRPr="00163551">
        <w:rPr>
          <w:rFonts w:eastAsia="Calibri"/>
        </w:rPr>
        <w:t xml:space="preserve">, </w:t>
      </w:r>
      <w:proofErr w:type="spellStart"/>
      <w:r w:rsidRPr="00163551">
        <w:rPr>
          <w:rFonts w:eastAsia="Calibri"/>
        </w:rPr>
        <w:t>sobre</w:t>
      </w:r>
      <w:proofErr w:type="spellEnd"/>
      <w:r w:rsidRPr="00163551">
        <w:rPr>
          <w:rFonts w:eastAsia="Calibri"/>
        </w:rPr>
        <w:t xml:space="preserve"> las </w:t>
      </w:r>
      <w:proofErr w:type="spellStart"/>
      <w:r w:rsidRPr="00163551">
        <w:rPr>
          <w:rFonts w:eastAsia="Calibri"/>
        </w:rPr>
        <w:t>perspectivas</w:t>
      </w:r>
      <w:proofErr w:type="spellEnd"/>
      <w:r w:rsidRPr="00163551">
        <w:rPr>
          <w:rFonts w:eastAsia="Calibri"/>
        </w:rPr>
        <w:t xml:space="preserve"> </w:t>
      </w:r>
      <w:proofErr w:type="spellStart"/>
      <w:r w:rsidRPr="00163551">
        <w:rPr>
          <w:rFonts w:eastAsia="Calibri"/>
        </w:rPr>
        <w:t>futuras</w:t>
      </w:r>
      <w:proofErr w:type="spellEnd"/>
      <w:r w:rsidRPr="00163551">
        <w:rPr>
          <w:rFonts w:eastAsia="Calibri"/>
        </w:rPr>
        <w:t xml:space="preserve"> de la </w:t>
      </w:r>
      <w:proofErr w:type="spellStart"/>
      <w:r w:rsidRPr="00163551">
        <w:rPr>
          <w:rFonts w:eastAsia="Calibri"/>
        </w:rPr>
        <w:t>empleabilidad</w:t>
      </w:r>
      <w:proofErr w:type="spellEnd"/>
      <w:r w:rsidRPr="00163551">
        <w:rPr>
          <w:rFonts w:eastAsia="Calibri"/>
        </w:rPr>
        <w:t xml:space="preserve"> para los </w:t>
      </w:r>
      <w:proofErr w:type="spellStart"/>
      <w:r w:rsidRPr="00163551">
        <w:rPr>
          <w:rFonts w:eastAsia="Calibri"/>
        </w:rPr>
        <w:t>jóvenes</w:t>
      </w:r>
      <w:proofErr w:type="spellEnd"/>
      <w:r>
        <w:rPr>
          <w:rFonts w:eastAsia="Calibri"/>
        </w:rPr>
        <w:t xml:space="preserve">. </w:t>
      </w:r>
    </w:p>
    <w:p w14:paraId="5A35A0AA" w14:textId="77777777" w:rsidR="00DF7314" w:rsidRPr="00E5143E" w:rsidRDefault="00DF7314" w:rsidP="00DF73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b/>
        </w:rPr>
      </w:pPr>
      <w:r w:rsidRPr="00E5143E">
        <w:rPr>
          <w:rFonts w:ascii="Calibri" w:eastAsia="Calibri" w:hAnsi="Calibri" w:cs="Calibri"/>
          <w:b/>
        </w:rPr>
        <w:t xml:space="preserve">Metas </w:t>
      </w:r>
      <w:proofErr w:type="spellStart"/>
      <w:r w:rsidRPr="00E5143E">
        <w:rPr>
          <w:rFonts w:ascii="Calibri" w:eastAsia="Calibri" w:hAnsi="Calibri" w:cs="Calibri"/>
          <w:b/>
        </w:rPr>
        <w:t>componente</w:t>
      </w:r>
      <w:proofErr w:type="spellEnd"/>
      <w:r w:rsidRPr="00E5143E">
        <w:rPr>
          <w:rFonts w:ascii="Calibri" w:eastAsia="Calibri" w:hAnsi="Calibri" w:cs="Calibri"/>
          <w:b/>
        </w:rPr>
        <w:t xml:space="preserve"> 2: </w:t>
      </w: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40"/>
      </w:tblGrid>
      <w:tr w:rsidR="00DF7314" w:rsidRPr="002A25AD" w14:paraId="5E72D542" w14:textId="77777777" w:rsidTr="00DF7314">
        <w:trPr>
          <w:trHeight w:val="557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617E63" w14:textId="77777777" w:rsidR="00DF7314" w:rsidRPr="00163551" w:rsidRDefault="00DF7314" w:rsidP="00DF73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s-CL"/>
              </w:rPr>
            </w:pPr>
            <w:r w:rsidRPr="00163551">
              <w:rPr>
                <w:b/>
                <w:bCs/>
                <w:color w:val="000000" w:themeColor="text1"/>
                <w:lang w:val="es-CL"/>
              </w:rPr>
              <w:t>Región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3A73A1" w14:textId="77777777" w:rsidR="00DF7314" w:rsidRPr="00163551" w:rsidRDefault="00DF7314" w:rsidP="00DF73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s-CL"/>
              </w:rPr>
            </w:pPr>
            <w:r w:rsidRPr="00163551">
              <w:rPr>
                <w:b/>
                <w:bCs/>
                <w:color w:val="000000" w:themeColor="text1"/>
                <w:lang w:val="es-CL"/>
              </w:rPr>
              <w:t>Cobertura Beneficiarios 2021</w:t>
            </w:r>
          </w:p>
        </w:tc>
      </w:tr>
      <w:tr w:rsidR="00DF7314" w:rsidRPr="002A25AD" w14:paraId="79426210" w14:textId="77777777" w:rsidTr="00DF7314">
        <w:trPr>
          <w:trHeight w:val="31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22DC" w14:textId="77777777" w:rsidR="00DF7314" w:rsidRPr="002A25AD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2A25AD">
              <w:rPr>
                <w:color w:val="000000"/>
                <w:lang w:val="es-CL"/>
              </w:rPr>
              <w:t>Tarapacá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2429E" w14:textId="77777777" w:rsidR="00DF7314" w:rsidRPr="00163551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163551">
              <w:rPr>
                <w:color w:val="000000"/>
                <w:lang w:val="es-CL"/>
              </w:rPr>
              <w:t>671</w:t>
            </w:r>
          </w:p>
        </w:tc>
      </w:tr>
      <w:tr w:rsidR="00DF7314" w:rsidRPr="002A25AD" w14:paraId="2EBBD530" w14:textId="77777777" w:rsidTr="00DF7314">
        <w:trPr>
          <w:trHeight w:val="31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08A3" w14:textId="77777777" w:rsidR="00DF7314" w:rsidRPr="002A25AD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2A25AD">
              <w:rPr>
                <w:color w:val="000000"/>
                <w:lang w:val="es-CL"/>
              </w:rPr>
              <w:t>Maule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CFC68" w14:textId="77777777" w:rsidR="00DF7314" w:rsidRPr="00163551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163551">
              <w:rPr>
                <w:color w:val="000000"/>
                <w:lang w:val="es-CL"/>
              </w:rPr>
              <w:t>1087</w:t>
            </w:r>
          </w:p>
        </w:tc>
      </w:tr>
      <w:tr w:rsidR="00DF7314" w:rsidRPr="002A25AD" w14:paraId="16FEA233" w14:textId="77777777" w:rsidTr="00DF7314">
        <w:trPr>
          <w:trHeight w:val="306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4DC7" w14:textId="77777777" w:rsidR="00DF7314" w:rsidRPr="002A25AD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2A25AD">
              <w:rPr>
                <w:color w:val="000000"/>
                <w:lang w:val="es-CL"/>
              </w:rPr>
              <w:t>Bio-Bío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AC61A" w14:textId="77777777" w:rsidR="00DF7314" w:rsidRPr="00163551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163551">
              <w:rPr>
                <w:color w:val="000000"/>
                <w:lang w:val="es-CL"/>
              </w:rPr>
              <w:t>1262</w:t>
            </w:r>
          </w:p>
        </w:tc>
      </w:tr>
      <w:tr w:rsidR="00DF7314" w:rsidRPr="002A25AD" w14:paraId="17944805" w14:textId="77777777" w:rsidTr="00DF7314">
        <w:trPr>
          <w:trHeight w:val="268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2E55" w14:textId="77777777" w:rsidR="00DF7314" w:rsidRPr="002A25AD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2A25AD">
              <w:rPr>
                <w:color w:val="000000"/>
                <w:lang w:val="es-CL"/>
              </w:rPr>
              <w:t>Araucanía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B485F" w14:textId="77777777" w:rsidR="00DF7314" w:rsidRPr="00163551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163551">
              <w:rPr>
                <w:color w:val="000000"/>
                <w:lang w:val="es-CL"/>
              </w:rPr>
              <w:t>1238</w:t>
            </w:r>
          </w:p>
        </w:tc>
      </w:tr>
      <w:tr w:rsidR="00DF7314" w:rsidRPr="002A25AD" w14:paraId="626B2D83" w14:textId="77777777" w:rsidTr="00DF7314">
        <w:trPr>
          <w:trHeight w:val="259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A3AF" w14:textId="77777777" w:rsidR="00DF7314" w:rsidRPr="002A25AD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2A25AD">
              <w:rPr>
                <w:color w:val="000000"/>
                <w:lang w:val="es-CL"/>
              </w:rPr>
              <w:t>Aysén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34F6F" w14:textId="77777777" w:rsidR="00DF7314" w:rsidRPr="00163551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163551">
              <w:rPr>
                <w:color w:val="000000"/>
                <w:lang w:val="es-CL"/>
              </w:rPr>
              <w:t>552</w:t>
            </w:r>
          </w:p>
        </w:tc>
      </w:tr>
      <w:tr w:rsidR="00DF7314" w:rsidRPr="002A25AD" w14:paraId="0E2D12F7" w14:textId="77777777" w:rsidTr="00DF7314">
        <w:trPr>
          <w:trHeight w:val="259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BDF2C6" w14:textId="77777777" w:rsidR="00DF7314" w:rsidRPr="00163551" w:rsidRDefault="00DF7314" w:rsidP="00DF7314">
            <w:pPr>
              <w:spacing w:after="0" w:line="240" w:lineRule="auto"/>
              <w:jc w:val="center"/>
              <w:rPr>
                <w:b/>
                <w:color w:val="000000"/>
                <w:lang w:val="es-CL"/>
              </w:rPr>
            </w:pPr>
            <w:r w:rsidRPr="00163551">
              <w:rPr>
                <w:b/>
                <w:color w:val="000000"/>
                <w:lang w:val="es-CL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177D41" w14:textId="77777777" w:rsidR="00DF7314" w:rsidRPr="00163551" w:rsidRDefault="00DF7314" w:rsidP="00DF7314">
            <w:pPr>
              <w:spacing w:after="0" w:line="240" w:lineRule="auto"/>
              <w:jc w:val="center"/>
              <w:rPr>
                <w:b/>
                <w:color w:val="000000"/>
                <w:lang w:val="es-CL"/>
              </w:rPr>
            </w:pPr>
            <w:r w:rsidRPr="00163551">
              <w:rPr>
                <w:b/>
                <w:color w:val="000000"/>
                <w:lang w:val="es-CL"/>
              </w:rPr>
              <w:t>4810</w:t>
            </w:r>
          </w:p>
        </w:tc>
      </w:tr>
    </w:tbl>
    <w:p w14:paraId="723D33DE" w14:textId="77777777" w:rsidR="00DF7314" w:rsidRDefault="00DF7314" w:rsidP="00DF7314">
      <w:pPr>
        <w:jc w:val="both"/>
        <w:rPr>
          <w:rFonts w:ascii="Calibri" w:eastAsia="Calibri" w:hAnsi="Calibri" w:cs="Calibri"/>
        </w:rPr>
      </w:pPr>
    </w:p>
    <w:p w14:paraId="30FBB6F2" w14:textId="77777777" w:rsidR="00DF7314" w:rsidRDefault="00DF7314" w:rsidP="00DF7314">
      <w:pPr>
        <w:spacing w:after="0" w:line="240" w:lineRule="auto"/>
        <w:jc w:val="both"/>
        <w:rPr>
          <w:rFonts w:eastAsia="Calibri"/>
          <w:color w:val="000000" w:themeColor="text1"/>
        </w:rPr>
      </w:pPr>
      <w:proofErr w:type="spellStart"/>
      <w:r w:rsidRPr="00BB3FD1">
        <w:rPr>
          <w:rFonts w:eastAsia="Calibri"/>
          <w:b/>
        </w:rPr>
        <w:lastRenderedPageBreak/>
        <w:t>Componente</w:t>
      </w:r>
      <w:proofErr w:type="spellEnd"/>
      <w:r w:rsidRPr="00BB3FD1">
        <w:rPr>
          <w:rFonts w:eastAsia="Calibri"/>
          <w:b/>
        </w:rPr>
        <w:t xml:space="preserve"> 3.</w:t>
      </w:r>
      <w:r w:rsidRPr="00BB3FD1">
        <w:rPr>
          <w:rFonts w:eastAsia="Calibri"/>
        </w:rPr>
        <w:t xml:space="preserve"> </w:t>
      </w:r>
      <w:r w:rsidRPr="00BB3FD1">
        <w:rPr>
          <w:rFonts w:eastAsia="Calibri"/>
          <w:b/>
        </w:rPr>
        <w:t xml:space="preserve">Espacio </w:t>
      </w:r>
      <w:proofErr w:type="spellStart"/>
      <w:r w:rsidRPr="00BB3FD1">
        <w:rPr>
          <w:rFonts w:eastAsia="Calibri"/>
          <w:b/>
        </w:rPr>
        <w:t>Cowork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  <w:b/>
          <w:color w:val="0070C0"/>
          <w:u w:val="single"/>
        </w:rPr>
        <w:t>INHub</w:t>
      </w:r>
      <w:proofErr w:type="spellEnd"/>
      <w:r w:rsidRPr="00BB3FD1">
        <w:rPr>
          <w:rFonts w:eastAsia="Calibri"/>
        </w:rPr>
        <w:t xml:space="preserve">: Este </w:t>
      </w:r>
      <w:proofErr w:type="spellStart"/>
      <w:r w:rsidRPr="00BB3FD1">
        <w:rPr>
          <w:rFonts w:eastAsia="Calibri"/>
        </w:rPr>
        <w:t>componente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contempla</w:t>
      </w:r>
      <w:proofErr w:type="spellEnd"/>
      <w:r w:rsidRPr="00BB3FD1">
        <w:rPr>
          <w:rFonts w:eastAsia="Calibri"/>
        </w:rPr>
        <w:t xml:space="preserve"> el </w:t>
      </w:r>
      <w:proofErr w:type="spellStart"/>
      <w:r w:rsidRPr="00BB3FD1">
        <w:rPr>
          <w:rFonts w:eastAsia="Calibri"/>
        </w:rPr>
        <w:t>uso</w:t>
      </w:r>
      <w:proofErr w:type="spellEnd"/>
      <w:r w:rsidRPr="00BB3FD1">
        <w:rPr>
          <w:rFonts w:eastAsia="Calibri"/>
        </w:rPr>
        <w:t xml:space="preserve"> por </w:t>
      </w:r>
      <w:proofErr w:type="spellStart"/>
      <w:r w:rsidRPr="00BB3FD1">
        <w:rPr>
          <w:rFonts w:eastAsia="Calibri"/>
        </w:rPr>
        <w:t>parte</w:t>
      </w:r>
      <w:proofErr w:type="spellEnd"/>
      <w:r w:rsidRPr="00BB3FD1">
        <w:rPr>
          <w:rFonts w:eastAsia="Calibri"/>
        </w:rPr>
        <w:t xml:space="preserve"> de los </w:t>
      </w:r>
      <w:proofErr w:type="spellStart"/>
      <w:r w:rsidRPr="00BB3FD1">
        <w:rPr>
          <w:rFonts w:eastAsia="Calibri"/>
        </w:rPr>
        <w:t>jóvenes</w:t>
      </w:r>
      <w:proofErr w:type="spellEnd"/>
      <w:r w:rsidRPr="00BB3FD1">
        <w:rPr>
          <w:rFonts w:eastAsia="Calibri"/>
        </w:rPr>
        <w:t xml:space="preserve"> del </w:t>
      </w:r>
      <w:proofErr w:type="spellStart"/>
      <w:r w:rsidRPr="00BB3FD1">
        <w:rPr>
          <w:rFonts w:eastAsia="Calibri"/>
        </w:rPr>
        <w:t>espacio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INHub</w:t>
      </w:r>
      <w:proofErr w:type="spellEnd"/>
      <w:r w:rsidRPr="00BB3FD1">
        <w:rPr>
          <w:rFonts w:eastAsia="Calibri"/>
        </w:rPr>
        <w:t xml:space="preserve"> (</w:t>
      </w:r>
      <w:proofErr w:type="spellStart"/>
      <w:r w:rsidRPr="00BB3FD1">
        <w:rPr>
          <w:rFonts w:eastAsia="Calibri"/>
        </w:rPr>
        <w:t>Cowork</w:t>
      </w:r>
      <w:proofErr w:type="spellEnd"/>
      <w:r w:rsidRPr="00BB3FD1">
        <w:rPr>
          <w:rFonts w:eastAsia="Calibri"/>
        </w:rPr>
        <w:t xml:space="preserve">) que </w:t>
      </w:r>
      <w:proofErr w:type="spellStart"/>
      <w:r w:rsidRPr="00BB3FD1">
        <w:rPr>
          <w:rFonts w:eastAsia="Calibri"/>
        </w:rPr>
        <w:t>contará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salas</w:t>
      </w:r>
      <w:proofErr w:type="spellEnd"/>
      <w:r w:rsidRPr="00BB3FD1">
        <w:rPr>
          <w:rFonts w:eastAsia="Calibri"/>
        </w:rPr>
        <w:t xml:space="preserve"> de </w:t>
      </w:r>
      <w:proofErr w:type="spellStart"/>
      <w:r w:rsidRPr="00BB3FD1">
        <w:rPr>
          <w:rFonts w:eastAsia="Calibri"/>
        </w:rPr>
        <w:t>reunión</w:t>
      </w:r>
      <w:proofErr w:type="spellEnd"/>
      <w:r w:rsidRPr="00BB3FD1">
        <w:rPr>
          <w:rFonts w:eastAsia="Calibri"/>
        </w:rPr>
        <w:t xml:space="preserve">, </w:t>
      </w:r>
      <w:proofErr w:type="spellStart"/>
      <w:r w:rsidRPr="00BB3FD1">
        <w:rPr>
          <w:rFonts w:eastAsia="Calibri"/>
        </w:rPr>
        <w:t>estaciones</w:t>
      </w:r>
      <w:proofErr w:type="spellEnd"/>
      <w:r w:rsidRPr="00BB3FD1">
        <w:rPr>
          <w:rFonts w:eastAsia="Calibri"/>
        </w:rPr>
        <w:t xml:space="preserve"> de </w:t>
      </w:r>
      <w:proofErr w:type="spellStart"/>
      <w:r w:rsidRPr="00BB3FD1">
        <w:rPr>
          <w:rFonts w:eastAsia="Calibri"/>
        </w:rPr>
        <w:t>trabajo</w:t>
      </w:r>
      <w:proofErr w:type="spellEnd"/>
      <w:r w:rsidRPr="00BB3FD1">
        <w:rPr>
          <w:rFonts w:eastAsia="Calibri"/>
        </w:rPr>
        <w:t xml:space="preserve">, internet, café, </w:t>
      </w:r>
      <w:proofErr w:type="spellStart"/>
      <w:r w:rsidRPr="00BB3FD1">
        <w:rPr>
          <w:rFonts w:eastAsia="Calibri"/>
        </w:rPr>
        <w:t>computadores</w:t>
      </w:r>
      <w:proofErr w:type="spellEnd"/>
      <w:r w:rsidRPr="00BB3FD1">
        <w:rPr>
          <w:rFonts w:eastAsia="Calibri"/>
        </w:rPr>
        <w:t xml:space="preserve">, entre </w:t>
      </w:r>
      <w:proofErr w:type="spellStart"/>
      <w:r w:rsidRPr="00BB3FD1">
        <w:rPr>
          <w:rFonts w:eastAsia="Calibri"/>
        </w:rPr>
        <w:t>otros</w:t>
      </w:r>
      <w:proofErr w:type="spellEnd"/>
      <w:r w:rsidRPr="00BB3FD1">
        <w:rPr>
          <w:rFonts w:eastAsia="Calibri"/>
        </w:rPr>
        <w:t xml:space="preserve">. La meta </w:t>
      </w:r>
      <w:proofErr w:type="spellStart"/>
      <w:r w:rsidRPr="00BB3FD1">
        <w:rPr>
          <w:rFonts w:eastAsia="Calibri"/>
        </w:rPr>
        <w:t>asociada</w:t>
      </w:r>
      <w:proofErr w:type="spellEnd"/>
      <w:r w:rsidRPr="00BB3FD1">
        <w:rPr>
          <w:rFonts w:eastAsia="Calibri"/>
        </w:rPr>
        <w:t xml:space="preserve"> al </w:t>
      </w:r>
      <w:proofErr w:type="spellStart"/>
      <w:r w:rsidRPr="00BB3FD1">
        <w:rPr>
          <w:rFonts w:eastAsia="Calibri"/>
        </w:rPr>
        <w:t>uso</w:t>
      </w:r>
      <w:proofErr w:type="spellEnd"/>
      <w:r w:rsidRPr="00BB3FD1">
        <w:rPr>
          <w:rFonts w:eastAsia="Calibri"/>
        </w:rPr>
        <w:t xml:space="preserve"> del </w:t>
      </w:r>
      <w:proofErr w:type="spellStart"/>
      <w:r w:rsidRPr="00BB3FD1">
        <w:rPr>
          <w:rFonts w:eastAsia="Calibri"/>
        </w:rPr>
        <w:t>espacio</w:t>
      </w:r>
      <w:proofErr w:type="spellEnd"/>
      <w:r w:rsidRPr="00BB3FD1">
        <w:rPr>
          <w:rFonts w:eastAsia="Calibri"/>
        </w:rPr>
        <w:t xml:space="preserve"> son 3000 </w:t>
      </w:r>
      <w:proofErr w:type="spellStart"/>
      <w:r w:rsidRPr="00BB3FD1">
        <w:rPr>
          <w:rFonts w:eastAsia="Calibri"/>
        </w:rPr>
        <w:t>jóvenes</w:t>
      </w:r>
      <w:proofErr w:type="spellEnd"/>
      <w:r w:rsidRPr="00BB3FD1">
        <w:rPr>
          <w:rFonts w:eastAsia="Calibri"/>
        </w:rPr>
        <w:t xml:space="preserve"> por los 5 </w:t>
      </w:r>
      <w:proofErr w:type="spellStart"/>
      <w:r w:rsidRPr="00BB3FD1">
        <w:rPr>
          <w:rFonts w:eastAsia="Calibri"/>
        </w:rPr>
        <w:t>INHub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durante</w:t>
      </w:r>
      <w:proofErr w:type="spellEnd"/>
      <w:r w:rsidRPr="00BB3FD1">
        <w:rPr>
          <w:rFonts w:eastAsia="Calibri"/>
        </w:rPr>
        <w:t xml:space="preserve"> el 2021. </w:t>
      </w:r>
      <w:proofErr w:type="spellStart"/>
      <w:r w:rsidRPr="00BB3FD1">
        <w:rPr>
          <w:rFonts w:eastAsia="Calibri"/>
        </w:rPr>
        <w:t>Esta</w:t>
      </w:r>
      <w:proofErr w:type="spellEnd"/>
      <w:r w:rsidRPr="00BB3FD1">
        <w:rPr>
          <w:rFonts w:eastAsia="Calibri"/>
        </w:rPr>
        <w:t xml:space="preserve"> meta que es </w:t>
      </w:r>
      <w:proofErr w:type="spellStart"/>
      <w:r w:rsidRPr="00BB3FD1">
        <w:rPr>
          <w:rFonts w:eastAsia="Calibri"/>
        </w:rPr>
        <w:t>menor</w:t>
      </w:r>
      <w:proofErr w:type="spellEnd"/>
      <w:r w:rsidRPr="00BB3FD1">
        <w:rPr>
          <w:rFonts w:eastAsia="Calibri"/>
        </w:rPr>
        <w:t xml:space="preserve"> que la del </w:t>
      </w:r>
      <w:proofErr w:type="spellStart"/>
      <w:r w:rsidRPr="00BB3FD1">
        <w:rPr>
          <w:rFonts w:eastAsia="Calibri"/>
        </w:rPr>
        <w:t>año</w:t>
      </w:r>
      <w:proofErr w:type="spellEnd"/>
      <w:r w:rsidRPr="00BB3FD1">
        <w:rPr>
          <w:rFonts w:eastAsia="Calibri"/>
        </w:rPr>
        <w:t xml:space="preserve"> 2020, </w:t>
      </w:r>
      <w:proofErr w:type="spellStart"/>
      <w:r w:rsidRPr="00BB3FD1">
        <w:rPr>
          <w:rFonts w:eastAsia="Calibri"/>
        </w:rPr>
        <w:t>considera</w:t>
      </w:r>
      <w:proofErr w:type="spellEnd"/>
      <w:r w:rsidRPr="00BB3FD1">
        <w:rPr>
          <w:rFonts w:eastAsia="Calibri"/>
        </w:rPr>
        <w:t xml:space="preserve"> el </w:t>
      </w:r>
      <w:proofErr w:type="spellStart"/>
      <w:r w:rsidRPr="00BB3FD1">
        <w:rPr>
          <w:rFonts w:eastAsia="Calibri"/>
        </w:rPr>
        <w:t>contexto</w:t>
      </w:r>
      <w:proofErr w:type="spellEnd"/>
      <w:r w:rsidRPr="00BB3FD1">
        <w:rPr>
          <w:rFonts w:eastAsia="Calibri"/>
        </w:rPr>
        <w:t xml:space="preserve"> de </w:t>
      </w:r>
      <w:proofErr w:type="spellStart"/>
      <w:r w:rsidRPr="00BB3FD1">
        <w:rPr>
          <w:rFonts w:eastAsia="Calibri"/>
        </w:rPr>
        <w:t>pandemia</w:t>
      </w:r>
      <w:proofErr w:type="spellEnd"/>
      <w:r w:rsidRPr="00BB3FD1">
        <w:rPr>
          <w:rFonts w:eastAsia="Calibri"/>
        </w:rPr>
        <w:t xml:space="preserve">, </w:t>
      </w:r>
      <w:proofErr w:type="spellStart"/>
      <w:r w:rsidRPr="00BB3FD1">
        <w:rPr>
          <w:rFonts w:eastAsia="Calibri"/>
        </w:rPr>
        <w:t>en</w:t>
      </w:r>
      <w:proofErr w:type="spellEnd"/>
      <w:r w:rsidRPr="00BB3FD1">
        <w:rPr>
          <w:rFonts w:eastAsia="Calibri"/>
        </w:rPr>
        <w:t xml:space="preserve"> el que, por </w:t>
      </w:r>
      <w:proofErr w:type="spellStart"/>
      <w:r w:rsidRPr="00BB3FD1">
        <w:rPr>
          <w:rFonts w:eastAsia="Calibri"/>
        </w:rPr>
        <w:t>temas</w:t>
      </w:r>
      <w:proofErr w:type="spellEnd"/>
      <w:r w:rsidRPr="00BB3FD1">
        <w:rPr>
          <w:rFonts w:eastAsia="Calibri"/>
        </w:rPr>
        <w:t xml:space="preserve"> de </w:t>
      </w:r>
      <w:proofErr w:type="spellStart"/>
      <w:r w:rsidRPr="00BB3FD1">
        <w:rPr>
          <w:rFonts w:eastAsia="Calibri"/>
        </w:rPr>
        <w:t>seguridad</w:t>
      </w:r>
      <w:proofErr w:type="spellEnd"/>
      <w:r w:rsidRPr="00BB3FD1">
        <w:rPr>
          <w:rFonts w:eastAsia="Calibri"/>
        </w:rPr>
        <w:t xml:space="preserve">, no </w:t>
      </w:r>
      <w:proofErr w:type="spellStart"/>
      <w:r w:rsidRPr="00BB3FD1">
        <w:rPr>
          <w:rFonts w:eastAsia="Calibri"/>
        </w:rPr>
        <w:t>puede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haber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muchas</w:t>
      </w:r>
      <w:proofErr w:type="spellEnd"/>
      <w:r w:rsidRPr="00BB3FD1">
        <w:rPr>
          <w:rFonts w:eastAsia="Calibri"/>
        </w:rPr>
        <w:t xml:space="preserve"> personas </w:t>
      </w:r>
      <w:proofErr w:type="spellStart"/>
      <w:r w:rsidRPr="00BB3FD1">
        <w:rPr>
          <w:rFonts w:eastAsia="Calibri"/>
        </w:rPr>
        <w:t>en</w:t>
      </w:r>
      <w:proofErr w:type="spellEnd"/>
      <w:r w:rsidRPr="00BB3FD1">
        <w:rPr>
          <w:rFonts w:eastAsia="Calibri"/>
        </w:rPr>
        <w:t xml:space="preserve"> el </w:t>
      </w:r>
      <w:proofErr w:type="spellStart"/>
      <w:r w:rsidRPr="00BB3FD1">
        <w:rPr>
          <w:rFonts w:eastAsia="Calibri"/>
        </w:rPr>
        <w:t>espacio</w:t>
      </w:r>
      <w:proofErr w:type="spellEnd"/>
      <w:r w:rsidRPr="00BB3FD1">
        <w:rPr>
          <w:rFonts w:eastAsia="Calibri"/>
        </w:rPr>
        <w:t xml:space="preserve"> y </w:t>
      </w:r>
      <w:proofErr w:type="spellStart"/>
      <w:r w:rsidRPr="00BB3FD1">
        <w:rPr>
          <w:rFonts w:eastAsia="Calibri"/>
        </w:rPr>
        <w:t>adicionalmente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existe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incertidumbre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sobre</w:t>
      </w:r>
      <w:proofErr w:type="spellEnd"/>
      <w:r w:rsidRPr="00BB3FD1">
        <w:rPr>
          <w:rFonts w:eastAsia="Calibri"/>
        </w:rPr>
        <w:t xml:space="preserve"> </w:t>
      </w:r>
      <w:proofErr w:type="spellStart"/>
      <w:r w:rsidRPr="00BB3FD1">
        <w:rPr>
          <w:rFonts w:eastAsia="Calibri"/>
        </w:rPr>
        <w:t>implementación</w:t>
      </w:r>
      <w:proofErr w:type="spellEnd"/>
      <w:r w:rsidRPr="00BB3FD1">
        <w:rPr>
          <w:rFonts w:eastAsia="Calibri"/>
        </w:rPr>
        <w:t xml:space="preserve"> de </w:t>
      </w:r>
      <w:proofErr w:type="spellStart"/>
      <w:r w:rsidRPr="00BB3FD1">
        <w:rPr>
          <w:rFonts w:eastAsia="Calibri"/>
        </w:rPr>
        <w:t>cuarentenas</w:t>
      </w:r>
      <w:proofErr w:type="spellEnd"/>
      <w:r w:rsidRPr="009E6811">
        <w:rPr>
          <w:rFonts w:eastAsia="Calibri"/>
          <w:sz w:val="24"/>
          <w:szCs w:val="24"/>
        </w:rPr>
        <w:t>.</w:t>
      </w:r>
      <w:r w:rsidRPr="009E6811">
        <w:rPr>
          <w:rFonts w:eastAsia="Calibri"/>
          <w:color w:val="000000" w:themeColor="text1"/>
        </w:rPr>
        <w:t xml:space="preserve">  </w:t>
      </w:r>
    </w:p>
    <w:p w14:paraId="43A63FF3" w14:textId="77777777" w:rsidR="00DF7314" w:rsidRDefault="00DF7314" w:rsidP="00DF7314">
      <w:pPr>
        <w:spacing w:after="0" w:line="240" w:lineRule="auto"/>
        <w:jc w:val="both"/>
        <w:rPr>
          <w:rFonts w:eastAsia="Calibri"/>
          <w:color w:val="000000" w:themeColor="text1"/>
        </w:rPr>
      </w:pPr>
    </w:p>
    <w:p w14:paraId="5BF0258B" w14:textId="77777777" w:rsidR="00DF7314" w:rsidRDefault="00DF7314" w:rsidP="00DF7314">
      <w:pPr>
        <w:spacing w:after="0" w:line="240" w:lineRule="auto"/>
        <w:jc w:val="both"/>
        <w:rPr>
          <w:rFonts w:eastAsia="Calibri"/>
          <w:color w:val="000000" w:themeColor="text1"/>
        </w:rPr>
      </w:pPr>
    </w:p>
    <w:p w14:paraId="06AFA572" w14:textId="77777777" w:rsidR="00DF7314" w:rsidRPr="00E5143E" w:rsidRDefault="00DF7314" w:rsidP="00DF73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b/>
        </w:rPr>
      </w:pPr>
      <w:r w:rsidRPr="00E5143E">
        <w:rPr>
          <w:rFonts w:ascii="Calibri" w:eastAsia="Calibri" w:hAnsi="Calibri" w:cs="Calibri"/>
          <w:b/>
        </w:rPr>
        <w:t xml:space="preserve">Metas </w:t>
      </w:r>
      <w:proofErr w:type="spellStart"/>
      <w:r w:rsidRPr="00E5143E">
        <w:rPr>
          <w:rFonts w:ascii="Calibri" w:eastAsia="Calibri" w:hAnsi="Calibri" w:cs="Calibri"/>
          <w:b/>
        </w:rPr>
        <w:t>componente</w:t>
      </w:r>
      <w:proofErr w:type="spellEnd"/>
      <w:r w:rsidRPr="00E5143E">
        <w:rPr>
          <w:rFonts w:ascii="Calibri" w:eastAsia="Calibri" w:hAnsi="Calibri" w:cs="Calibri"/>
          <w:b/>
        </w:rPr>
        <w:t xml:space="preserve"> 3: </w:t>
      </w:r>
    </w:p>
    <w:p w14:paraId="1B6AB6BF" w14:textId="77777777" w:rsidR="00DF7314" w:rsidRDefault="00DF7314" w:rsidP="00DF7314">
      <w:pPr>
        <w:pStyle w:val="Prrafodelista"/>
        <w:jc w:val="both"/>
        <w:rPr>
          <w:rFonts w:ascii="Calibri" w:eastAsia="Calibri" w:hAnsi="Calibri" w:cs="Calibri"/>
        </w:rPr>
      </w:pPr>
    </w:p>
    <w:tbl>
      <w:tblPr>
        <w:tblW w:w="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740"/>
      </w:tblGrid>
      <w:tr w:rsidR="00DF7314" w:rsidRPr="0039433F" w14:paraId="1CE3D48A" w14:textId="77777777" w:rsidTr="00DF7314">
        <w:trPr>
          <w:trHeight w:val="615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F176EE" w14:textId="77777777" w:rsidR="00DF7314" w:rsidRPr="005A4C53" w:rsidRDefault="00DF7314" w:rsidP="00DF73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s-CL"/>
              </w:rPr>
            </w:pPr>
            <w:r w:rsidRPr="005A4C53">
              <w:rPr>
                <w:b/>
                <w:bCs/>
                <w:color w:val="000000" w:themeColor="text1"/>
                <w:lang w:val="es-CL"/>
              </w:rPr>
              <w:t>Región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6C757C" w14:textId="77777777" w:rsidR="00DF7314" w:rsidRPr="005A4C53" w:rsidRDefault="00DF7314" w:rsidP="00DF73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s-CL"/>
              </w:rPr>
            </w:pPr>
            <w:r w:rsidRPr="005A4C53">
              <w:rPr>
                <w:b/>
                <w:bCs/>
                <w:color w:val="000000" w:themeColor="text1"/>
                <w:lang w:val="es-CL"/>
              </w:rPr>
              <w:t>Cobertura Beneficiarios 2021</w:t>
            </w:r>
          </w:p>
        </w:tc>
      </w:tr>
      <w:tr w:rsidR="00DF7314" w:rsidRPr="0039433F" w14:paraId="2254E907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7857" w14:textId="77777777" w:rsidR="00DF7314" w:rsidRPr="0039433F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39433F">
              <w:rPr>
                <w:color w:val="000000"/>
                <w:lang w:val="es-CL"/>
              </w:rPr>
              <w:t>Tarapacá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E8302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8"/>
              </w:rPr>
              <w:t>429</w:t>
            </w:r>
          </w:p>
        </w:tc>
      </w:tr>
      <w:tr w:rsidR="00DF7314" w:rsidRPr="0039433F" w14:paraId="279D56EE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6A6A" w14:textId="77777777" w:rsidR="00DF7314" w:rsidRPr="0039433F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39433F">
              <w:rPr>
                <w:color w:val="000000"/>
                <w:lang w:val="es-CL"/>
              </w:rPr>
              <w:t>Maule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B392C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8"/>
              </w:rPr>
              <w:t>678</w:t>
            </w:r>
          </w:p>
        </w:tc>
      </w:tr>
      <w:tr w:rsidR="00DF7314" w:rsidRPr="0039433F" w14:paraId="7A2461C9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AB5F" w14:textId="77777777" w:rsidR="00DF7314" w:rsidRPr="0039433F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39433F">
              <w:rPr>
                <w:color w:val="000000"/>
                <w:lang w:val="es-CL"/>
              </w:rPr>
              <w:t>Bio-Bío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73D39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8"/>
              </w:rPr>
              <w:t>787</w:t>
            </w:r>
          </w:p>
        </w:tc>
      </w:tr>
      <w:tr w:rsidR="00DF7314" w:rsidRPr="0039433F" w14:paraId="7BCC28A8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510E" w14:textId="77777777" w:rsidR="00DF7314" w:rsidRPr="0039433F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39433F">
              <w:rPr>
                <w:color w:val="000000"/>
                <w:lang w:val="es-CL"/>
              </w:rPr>
              <w:t>Araucanía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7BCB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8"/>
              </w:rPr>
              <w:t>772</w:t>
            </w:r>
          </w:p>
        </w:tc>
      </w:tr>
      <w:tr w:rsidR="00DF7314" w:rsidRPr="0039433F" w14:paraId="089DA31C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B66E" w14:textId="77777777" w:rsidR="00DF7314" w:rsidRPr="0039433F" w:rsidRDefault="00DF7314" w:rsidP="00DF7314">
            <w:pPr>
              <w:spacing w:after="0" w:line="240" w:lineRule="auto"/>
              <w:jc w:val="center"/>
              <w:rPr>
                <w:color w:val="000000"/>
                <w:lang w:val="es-CL"/>
              </w:rPr>
            </w:pPr>
            <w:r w:rsidRPr="0039433F">
              <w:rPr>
                <w:color w:val="000000"/>
                <w:lang w:val="es-CL"/>
              </w:rPr>
              <w:t>Aysén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38E79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8"/>
              </w:rPr>
              <w:t>334</w:t>
            </w:r>
          </w:p>
        </w:tc>
      </w:tr>
      <w:tr w:rsidR="00DF7314" w:rsidRPr="0039433F" w14:paraId="5028D36C" w14:textId="77777777" w:rsidTr="00DF7314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8712E9" w14:textId="77777777" w:rsidR="00DF7314" w:rsidRPr="0039433F" w:rsidRDefault="00DF7314" w:rsidP="00DF7314">
            <w:pPr>
              <w:spacing w:after="0" w:line="240" w:lineRule="auto"/>
              <w:jc w:val="center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Total 2021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ED2ECA" w14:textId="77777777" w:rsidR="00DF7314" w:rsidRPr="00056D4F" w:rsidRDefault="00DF7314" w:rsidP="00DF7314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5A4C5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8"/>
              </w:rPr>
              <w:t>3000</w:t>
            </w:r>
          </w:p>
        </w:tc>
      </w:tr>
    </w:tbl>
    <w:p w14:paraId="4943C07C" w14:textId="77777777" w:rsidR="00DF7314" w:rsidRDefault="00DF7314" w:rsidP="00DF7314">
      <w:pPr>
        <w:pStyle w:val="Prrafodelista"/>
        <w:jc w:val="both"/>
        <w:rPr>
          <w:rFonts w:ascii="Calibri" w:eastAsia="Calibri" w:hAnsi="Calibri" w:cs="Calibri"/>
        </w:rPr>
      </w:pPr>
    </w:p>
    <w:p w14:paraId="473C1E40" w14:textId="77777777" w:rsidR="00DF7314" w:rsidRPr="00DF7314" w:rsidRDefault="00DF7314" w:rsidP="00DF7314">
      <w:pPr>
        <w:jc w:val="both"/>
        <w:rPr>
          <w:rFonts w:asciiTheme="majorHAnsi" w:hAnsiTheme="majorHAnsi" w:cstheme="majorHAnsi"/>
          <w:b/>
          <w:color w:val="000000" w:themeColor="text1"/>
          <w:u w:val="single"/>
          <w:lang w:val="es-CL"/>
        </w:rPr>
      </w:pPr>
      <w:proofErr w:type="spellStart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>Componente</w:t>
      </w:r>
      <w:proofErr w:type="spellEnd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 xml:space="preserve"> 4. </w:t>
      </w:r>
      <w:proofErr w:type="spellStart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>transversales</w:t>
      </w:r>
      <w:proofErr w:type="spellEnd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 xml:space="preserve"> de la </w:t>
      </w:r>
      <w:proofErr w:type="spellStart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>iniciativa</w:t>
      </w:r>
      <w:proofErr w:type="spellEnd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>INHub</w:t>
      </w:r>
      <w:proofErr w:type="spellEnd"/>
      <w:r w:rsidRPr="00DF7314">
        <w:rPr>
          <w:rFonts w:asciiTheme="majorHAnsi" w:hAnsiTheme="majorHAnsi" w:cstheme="majorHAnsi"/>
          <w:b/>
          <w:color w:val="000000" w:themeColor="text1"/>
          <w:u w:val="single"/>
          <w:lang w:val="es-CL"/>
        </w:rPr>
        <w:t xml:space="preserve">: </w:t>
      </w:r>
    </w:p>
    <w:p w14:paraId="686168D8" w14:textId="77777777" w:rsidR="00DF7314" w:rsidRPr="00DF7314" w:rsidRDefault="00DF7314" w:rsidP="00DF7314">
      <w:pPr>
        <w:pStyle w:val="Prrafodelista"/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</w:p>
    <w:p w14:paraId="7C002060" w14:textId="77777777" w:rsidR="00DF7314" w:rsidRPr="00DF7314" w:rsidRDefault="00DF7314" w:rsidP="00DF73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complementarias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a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oferta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formativa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INHub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: Como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parte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oferta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programática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se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tendrán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complementarias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que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contribuirán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a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formación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los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jóvenes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como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: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charlas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ferias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emprendimiento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culturales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actividades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difusión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redes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contacto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trabajo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intersectorial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entre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otras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. </w:t>
      </w:r>
    </w:p>
    <w:p w14:paraId="2BE6F105" w14:textId="77777777" w:rsidR="00DF7314" w:rsidRPr="00DF7314" w:rsidRDefault="00DF7314" w:rsidP="00DF7314">
      <w:pPr>
        <w:pStyle w:val="Prrafodelista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</w:p>
    <w:p w14:paraId="55B92741" w14:textId="77777777" w:rsidR="00DF7314" w:rsidRPr="00DF7314" w:rsidRDefault="00DF7314" w:rsidP="00DF73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Directorio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Jóvenes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: Como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parte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planificación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estratégica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INHub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2020-2024, se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plantea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para el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segundo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año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implementación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(2021)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creación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un Directorio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consultivo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constituido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por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jóvenes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que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través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diferentes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espacios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coordinación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participen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entregando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lineamientos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para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mejorar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oferta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INHub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.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Esto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se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dará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no solo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referente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a lo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formativo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,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sino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también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a lo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estratégico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iniciativa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. Con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esto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se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buscan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ampliar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los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canales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participativos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toma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decisiones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iniciativa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lo que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redundara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en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mejorar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la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gobernanza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 de los </w:t>
      </w:r>
      <w:proofErr w:type="spellStart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>INHub</w:t>
      </w:r>
      <w:proofErr w:type="spellEnd"/>
      <w:r w:rsidRPr="00DF7314">
        <w:rPr>
          <w:rFonts w:asciiTheme="majorHAnsi" w:hAnsiTheme="majorHAnsi" w:cstheme="majorHAnsi"/>
          <w:bCs/>
          <w:color w:val="000000" w:themeColor="text1"/>
          <w:lang w:val="es-CL"/>
        </w:rPr>
        <w:t xml:space="preserve">. </w:t>
      </w:r>
    </w:p>
    <w:p w14:paraId="234D638B" w14:textId="77777777" w:rsidR="00DF7314" w:rsidRDefault="00DF7314" w:rsidP="004D54CC">
      <w:pPr>
        <w:spacing w:after="240"/>
        <w:jc w:val="both"/>
        <w:rPr>
          <w:rFonts w:asciiTheme="majorHAnsi" w:hAnsiTheme="majorHAnsi" w:cstheme="majorHAnsi"/>
          <w:b/>
          <w:bCs/>
          <w:lang w:val="es-CL"/>
        </w:rPr>
      </w:pPr>
    </w:p>
    <w:p w14:paraId="30CAF3C2" w14:textId="77777777" w:rsidR="006918AA" w:rsidRPr="00244475" w:rsidRDefault="006918AA" w:rsidP="006918AA">
      <w:pPr>
        <w:pStyle w:val="Prrafodelista"/>
        <w:numPr>
          <w:ilvl w:val="0"/>
          <w:numId w:val="5"/>
        </w:numPr>
        <w:rPr>
          <w:b/>
        </w:rPr>
      </w:pPr>
      <w:r w:rsidRPr="00244475">
        <w:rPr>
          <w:rFonts w:ascii="Calibri" w:eastAsia="Calibri" w:hAnsi="Calibri" w:cs="Calibri"/>
          <w:b/>
        </w:rPr>
        <w:t xml:space="preserve">Población </w:t>
      </w:r>
      <w:proofErr w:type="spellStart"/>
      <w:r w:rsidRPr="00244475">
        <w:rPr>
          <w:rFonts w:ascii="Calibri" w:eastAsia="Calibri" w:hAnsi="Calibri" w:cs="Calibri"/>
          <w:b/>
        </w:rPr>
        <w:t>objetivo</w:t>
      </w:r>
      <w:proofErr w:type="spellEnd"/>
      <w:r w:rsidRPr="00244475">
        <w:rPr>
          <w:rFonts w:ascii="Calibri" w:eastAsia="Calibri" w:hAnsi="Calibri" w:cs="Calibri"/>
          <w:b/>
        </w:rPr>
        <w:t xml:space="preserve"> y </w:t>
      </w:r>
      <w:proofErr w:type="spellStart"/>
      <w:r w:rsidRPr="00244475">
        <w:rPr>
          <w:rFonts w:ascii="Calibri" w:eastAsia="Calibri" w:hAnsi="Calibri" w:cs="Calibri"/>
          <w:b/>
        </w:rPr>
        <w:t>distribución</w:t>
      </w:r>
      <w:proofErr w:type="spellEnd"/>
      <w:r w:rsidRPr="00244475">
        <w:rPr>
          <w:rFonts w:ascii="Calibri" w:eastAsia="Calibri" w:hAnsi="Calibri" w:cs="Calibri"/>
          <w:b/>
        </w:rPr>
        <w:t xml:space="preserve"> regional</w:t>
      </w:r>
    </w:p>
    <w:p w14:paraId="74F628F9" w14:textId="77777777" w:rsidR="006918AA" w:rsidRDefault="006918AA" w:rsidP="006918AA">
      <w:pPr>
        <w:ind w:left="720"/>
        <w:jc w:val="both"/>
        <w:rPr>
          <w:rFonts w:ascii="Calibri" w:eastAsia="Calibri" w:hAnsi="Calibri" w:cs="Calibri"/>
        </w:rPr>
      </w:pPr>
      <w:r w:rsidRPr="1124EC56">
        <w:rPr>
          <w:rFonts w:ascii="Calibri" w:eastAsia="Calibri" w:hAnsi="Calibri" w:cs="Calibri"/>
        </w:rPr>
        <w:t xml:space="preserve">Población </w:t>
      </w:r>
      <w:proofErr w:type="spellStart"/>
      <w:r w:rsidRPr="1124EC56">
        <w:rPr>
          <w:rFonts w:ascii="Calibri" w:eastAsia="Calibri" w:hAnsi="Calibri" w:cs="Calibri"/>
        </w:rPr>
        <w:t>joven</w:t>
      </w:r>
      <w:proofErr w:type="spellEnd"/>
      <w:r w:rsidRPr="1124EC56">
        <w:rPr>
          <w:rFonts w:ascii="Calibri" w:eastAsia="Calibri" w:hAnsi="Calibri" w:cs="Calibri"/>
        </w:rPr>
        <w:t xml:space="preserve"> entre 15 – 29 </w:t>
      </w:r>
      <w:proofErr w:type="spellStart"/>
      <w:r w:rsidRPr="1124EC56">
        <w:rPr>
          <w:rFonts w:ascii="Calibri" w:eastAsia="Calibri" w:hAnsi="Calibri" w:cs="Calibri"/>
        </w:rPr>
        <w:t>años</w:t>
      </w:r>
      <w:proofErr w:type="spellEnd"/>
      <w:r w:rsidRPr="1124EC56">
        <w:rPr>
          <w:rFonts w:ascii="Calibri" w:eastAsia="Calibri" w:hAnsi="Calibri" w:cs="Calibri"/>
        </w:rPr>
        <w:t xml:space="preserve"> que se </w:t>
      </w:r>
      <w:proofErr w:type="spellStart"/>
      <w:r w:rsidRPr="1124EC56">
        <w:rPr>
          <w:rFonts w:ascii="Calibri" w:eastAsia="Calibri" w:hAnsi="Calibri" w:cs="Calibri"/>
        </w:rPr>
        <w:t>encuentren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residiendo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las </w:t>
      </w:r>
      <w:proofErr w:type="spellStart"/>
      <w:r w:rsidRPr="1124EC56">
        <w:rPr>
          <w:rFonts w:ascii="Calibri" w:eastAsia="Calibri" w:hAnsi="Calibri" w:cs="Calibri"/>
        </w:rPr>
        <w:t>regiones</w:t>
      </w:r>
      <w:proofErr w:type="spellEnd"/>
      <w:r w:rsidRPr="1124EC56">
        <w:rPr>
          <w:rFonts w:ascii="Calibri" w:eastAsia="Calibri" w:hAnsi="Calibri" w:cs="Calibri"/>
        </w:rPr>
        <w:t xml:space="preserve"> de Tarapacá, Maule, Bio </w:t>
      </w:r>
      <w:proofErr w:type="spellStart"/>
      <w:r w:rsidRPr="1124EC56">
        <w:rPr>
          <w:rFonts w:ascii="Calibri" w:eastAsia="Calibri" w:hAnsi="Calibri" w:cs="Calibri"/>
        </w:rPr>
        <w:t>Bio</w:t>
      </w:r>
      <w:proofErr w:type="spellEnd"/>
      <w:r w:rsidRPr="1124EC56">
        <w:rPr>
          <w:rFonts w:ascii="Calibri" w:eastAsia="Calibri" w:hAnsi="Calibri" w:cs="Calibri"/>
        </w:rPr>
        <w:t xml:space="preserve">, Araucanía y </w:t>
      </w:r>
      <w:proofErr w:type="spellStart"/>
      <w:r w:rsidRPr="1124EC56">
        <w:rPr>
          <w:rFonts w:ascii="Calibri" w:eastAsia="Calibri" w:hAnsi="Calibri" w:cs="Calibri"/>
        </w:rPr>
        <w:t>Aysén</w:t>
      </w:r>
      <w:proofErr w:type="spellEnd"/>
      <w:r w:rsidRPr="1124EC5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Se </w:t>
      </w:r>
      <w:proofErr w:type="spellStart"/>
      <w:r>
        <w:rPr>
          <w:rFonts w:ascii="Calibri" w:eastAsia="Calibri" w:hAnsi="Calibri" w:cs="Calibri"/>
        </w:rPr>
        <w:t>podrán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considerar</w:t>
      </w:r>
      <w:proofErr w:type="spellEnd"/>
      <w:r>
        <w:rPr>
          <w:rFonts w:ascii="Calibri" w:eastAsia="Calibri" w:hAnsi="Calibri" w:cs="Calibri"/>
        </w:rPr>
        <w:t xml:space="preserve"> las 11 </w:t>
      </w:r>
      <w:proofErr w:type="spellStart"/>
      <w:r>
        <w:rPr>
          <w:rFonts w:ascii="Calibri" w:eastAsia="Calibri" w:hAnsi="Calibri" w:cs="Calibri"/>
        </w:rPr>
        <w:t>regiones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país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de ser </w:t>
      </w:r>
      <w:proofErr w:type="spellStart"/>
      <w:r>
        <w:rPr>
          <w:rFonts w:ascii="Calibri" w:eastAsia="Calibri" w:hAnsi="Calibri" w:cs="Calibri"/>
        </w:rPr>
        <w:t>necesario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realización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específicas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228ECDF2" w14:textId="77777777" w:rsidR="006918AA" w:rsidRPr="00244475" w:rsidRDefault="006918AA" w:rsidP="006918AA">
      <w:pPr>
        <w:pStyle w:val="Prrafodelista"/>
        <w:numPr>
          <w:ilvl w:val="0"/>
          <w:numId w:val="5"/>
        </w:numPr>
        <w:rPr>
          <w:b/>
        </w:rPr>
      </w:pPr>
      <w:proofErr w:type="spellStart"/>
      <w:r w:rsidRPr="00244475">
        <w:rPr>
          <w:rFonts w:ascii="Calibri" w:eastAsia="Calibri" w:hAnsi="Calibri" w:cs="Calibri"/>
          <w:b/>
        </w:rPr>
        <w:t>Criterios</w:t>
      </w:r>
      <w:proofErr w:type="spellEnd"/>
      <w:r w:rsidRPr="00244475">
        <w:rPr>
          <w:rFonts w:ascii="Calibri" w:eastAsia="Calibri" w:hAnsi="Calibri" w:cs="Calibri"/>
          <w:b/>
        </w:rPr>
        <w:t xml:space="preserve"> de </w:t>
      </w:r>
      <w:proofErr w:type="spellStart"/>
      <w:r w:rsidRPr="00244475">
        <w:rPr>
          <w:rFonts w:ascii="Calibri" w:eastAsia="Calibri" w:hAnsi="Calibri" w:cs="Calibri"/>
          <w:b/>
        </w:rPr>
        <w:t>priorización</w:t>
      </w:r>
      <w:proofErr w:type="spellEnd"/>
    </w:p>
    <w:p w14:paraId="5B7F8F8F" w14:textId="77777777" w:rsidR="006918AA" w:rsidRDefault="006918AA" w:rsidP="006918AA">
      <w:pPr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Considerando</w:t>
      </w:r>
      <w:proofErr w:type="spellEnd"/>
      <w:r>
        <w:rPr>
          <w:rFonts w:ascii="Calibri" w:eastAsia="Calibri" w:hAnsi="Calibri" w:cs="Calibri"/>
        </w:rPr>
        <w:t xml:space="preserve"> que el INJUV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etario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atención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entre 15 a 29 </w:t>
      </w:r>
      <w:proofErr w:type="spellStart"/>
      <w:r>
        <w:rPr>
          <w:rFonts w:ascii="Calibri" w:eastAsia="Calibri" w:hAnsi="Calibri" w:cs="Calibri"/>
        </w:rPr>
        <w:t>años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el 2021 se </w:t>
      </w:r>
      <w:proofErr w:type="spellStart"/>
      <w:r>
        <w:rPr>
          <w:rFonts w:ascii="Calibri" w:eastAsia="Calibri" w:hAnsi="Calibri" w:cs="Calibri"/>
        </w:rPr>
        <w:t>realizarán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formativos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focalización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 w:rsidRPr="58E802D7">
        <w:rPr>
          <w:rFonts w:ascii="Calibri" w:eastAsia="Calibri" w:hAnsi="Calibri" w:cs="Calibri"/>
        </w:rPr>
        <w:t>:</w:t>
      </w:r>
    </w:p>
    <w:p w14:paraId="47B34833" w14:textId="77777777" w:rsidR="006918AA" w:rsidRDefault="006918AA" w:rsidP="006918AA">
      <w:pPr>
        <w:pStyle w:val="Prrafodelista"/>
        <w:numPr>
          <w:ilvl w:val="1"/>
          <w:numId w:val="7"/>
        </w:numPr>
        <w:jc w:val="both"/>
      </w:pPr>
      <w:proofErr w:type="spellStart"/>
      <w:r w:rsidRPr="1124EC56">
        <w:rPr>
          <w:rFonts w:ascii="Calibri" w:eastAsia="Calibri" w:hAnsi="Calibri" w:cs="Calibri"/>
        </w:rPr>
        <w:t>Jóvenes</w:t>
      </w:r>
      <w:proofErr w:type="spellEnd"/>
      <w:r w:rsidRPr="1124EC56">
        <w:rPr>
          <w:rFonts w:ascii="Calibri" w:eastAsia="Calibri" w:hAnsi="Calibri" w:cs="Calibri"/>
        </w:rPr>
        <w:t xml:space="preserve">:  Población </w:t>
      </w:r>
      <w:proofErr w:type="spellStart"/>
      <w:r w:rsidRPr="1124EC56">
        <w:rPr>
          <w:rFonts w:ascii="Calibri" w:eastAsia="Calibri" w:hAnsi="Calibri" w:cs="Calibri"/>
        </w:rPr>
        <w:t>joven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general</w:t>
      </w:r>
      <w:r>
        <w:rPr>
          <w:rFonts w:ascii="Calibri" w:eastAsia="Calibri" w:hAnsi="Calibri" w:cs="Calibri"/>
        </w:rPr>
        <w:t>,</w:t>
      </w:r>
      <w:r w:rsidRPr="1124EC56">
        <w:rPr>
          <w:rFonts w:ascii="Calibri" w:eastAsia="Calibri" w:hAnsi="Calibri" w:cs="Calibri"/>
        </w:rPr>
        <w:t xml:space="preserve"> que </w:t>
      </w:r>
      <w:proofErr w:type="spellStart"/>
      <w:r w:rsidRPr="1124EC56">
        <w:rPr>
          <w:rFonts w:ascii="Calibri" w:eastAsia="Calibri" w:hAnsi="Calibri" w:cs="Calibri"/>
        </w:rPr>
        <w:t>sea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usuario</w:t>
      </w:r>
      <w:proofErr w:type="spellEnd"/>
      <w:r w:rsidRPr="1124EC56">
        <w:rPr>
          <w:rFonts w:ascii="Calibri" w:eastAsia="Calibri" w:hAnsi="Calibri" w:cs="Calibri"/>
        </w:rPr>
        <w:t xml:space="preserve"> o no de </w:t>
      </w:r>
      <w:proofErr w:type="spellStart"/>
      <w:r w:rsidRPr="1124EC56">
        <w:rPr>
          <w:rFonts w:ascii="Calibri" w:eastAsia="Calibri" w:hAnsi="Calibri" w:cs="Calibri"/>
        </w:rPr>
        <w:t>servicios</w:t>
      </w:r>
      <w:proofErr w:type="spellEnd"/>
      <w:r w:rsidRPr="1124EC56">
        <w:rPr>
          <w:rFonts w:ascii="Calibri" w:eastAsia="Calibri" w:hAnsi="Calibri" w:cs="Calibri"/>
        </w:rPr>
        <w:t xml:space="preserve"> del </w:t>
      </w:r>
      <w:r w:rsidRPr="1124EC56">
        <w:rPr>
          <w:rFonts w:ascii="Calibri" w:eastAsia="Calibri" w:hAnsi="Calibri" w:cs="Calibri"/>
          <w:b/>
          <w:bCs/>
        </w:rPr>
        <w:t>INJUV</w:t>
      </w:r>
      <w:r>
        <w:rPr>
          <w:rFonts w:ascii="Calibri" w:eastAsia="Calibri" w:hAnsi="Calibri" w:cs="Calibri"/>
        </w:rPr>
        <w:t xml:space="preserve"> entre 15-29 </w:t>
      </w:r>
      <w:proofErr w:type="spellStart"/>
      <w:r>
        <w:rPr>
          <w:rFonts w:ascii="Calibri" w:eastAsia="Calibri" w:hAnsi="Calibri" w:cs="Calibri"/>
        </w:rPr>
        <w:t>años</w:t>
      </w:r>
      <w:proofErr w:type="spellEnd"/>
      <w:r>
        <w:rPr>
          <w:rFonts w:ascii="Calibri" w:eastAsia="Calibri" w:hAnsi="Calibri" w:cs="Calibri"/>
        </w:rPr>
        <w:t xml:space="preserve">, los </w:t>
      </w:r>
      <w:proofErr w:type="spellStart"/>
      <w:r>
        <w:rPr>
          <w:rFonts w:ascii="Calibri" w:eastAsia="Calibri" w:hAnsi="Calibri" w:cs="Calibri"/>
        </w:rPr>
        <w:t>cuáles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focalizados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rangos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etarios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acuerdo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distinta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oferta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programática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entregará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iniciativa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AF59A4">
        <w:rPr>
          <w:rFonts w:ascii="Calibri" w:eastAsia="Calibri" w:hAnsi="Calibri" w:cs="Calibri"/>
          <w:b/>
          <w:color w:val="0070C0"/>
          <w:u w:val="single"/>
        </w:rPr>
        <w:t>INHub</w:t>
      </w:r>
      <w:proofErr w:type="spellEnd"/>
      <w:r>
        <w:rPr>
          <w:rFonts w:ascii="Calibri" w:eastAsia="Calibri" w:hAnsi="Calibri" w:cs="Calibri"/>
        </w:rPr>
        <w:t>.</w:t>
      </w:r>
      <w:r w:rsidRPr="1124EC56">
        <w:rPr>
          <w:rFonts w:ascii="Calibri" w:eastAsia="Calibri" w:hAnsi="Calibri" w:cs="Calibri"/>
        </w:rPr>
        <w:t xml:space="preserve"> </w:t>
      </w:r>
    </w:p>
    <w:p w14:paraId="43E5B1E8" w14:textId="77777777" w:rsidR="006918AA" w:rsidRDefault="006918AA" w:rsidP="006918AA">
      <w:pPr>
        <w:pStyle w:val="Prrafodelista"/>
        <w:numPr>
          <w:ilvl w:val="1"/>
          <w:numId w:val="7"/>
        </w:numPr>
        <w:jc w:val="both"/>
      </w:pPr>
      <w:proofErr w:type="spellStart"/>
      <w:r w:rsidRPr="1124EC56">
        <w:rPr>
          <w:rFonts w:ascii="Calibri" w:eastAsia="Calibri" w:hAnsi="Calibri" w:cs="Calibri"/>
        </w:rPr>
        <w:t>Educación</w:t>
      </w:r>
      <w:proofErr w:type="spellEnd"/>
      <w:r w:rsidRPr="1124EC56">
        <w:rPr>
          <w:rFonts w:ascii="Calibri" w:eastAsia="Calibri" w:hAnsi="Calibri" w:cs="Calibri"/>
        </w:rPr>
        <w:t xml:space="preserve">: Población </w:t>
      </w:r>
      <w:proofErr w:type="spellStart"/>
      <w:r w:rsidRPr="1124EC56">
        <w:rPr>
          <w:rFonts w:ascii="Calibri" w:eastAsia="Calibri" w:hAnsi="Calibri" w:cs="Calibri"/>
        </w:rPr>
        <w:t>joven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general que se </w:t>
      </w:r>
      <w:proofErr w:type="spellStart"/>
      <w:r w:rsidRPr="1124EC56">
        <w:rPr>
          <w:rFonts w:ascii="Calibri" w:eastAsia="Calibri" w:hAnsi="Calibri" w:cs="Calibri"/>
        </w:rPr>
        <w:t>encuentre</w:t>
      </w:r>
      <w:proofErr w:type="spellEnd"/>
      <w:r w:rsidRPr="1124EC56">
        <w:rPr>
          <w:rFonts w:ascii="Calibri" w:eastAsia="Calibri" w:hAnsi="Calibri" w:cs="Calibri"/>
        </w:rPr>
        <w:t xml:space="preserve"> dentro o </w:t>
      </w:r>
      <w:proofErr w:type="spellStart"/>
      <w:r w:rsidRPr="1124EC56">
        <w:rPr>
          <w:rFonts w:ascii="Calibri" w:eastAsia="Calibri" w:hAnsi="Calibri" w:cs="Calibri"/>
        </w:rPr>
        <w:t>fuera</w:t>
      </w:r>
      <w:proofErr w:type="spellEnd"/>
      <w:r w:rsidRPr="1124EC56">
        <w:rPr>
          <w:rFonts w:ascii="Calibri" w:eastAsia="Calibri" w:hAnsi="Calibri" w:cs="Calibri"/>
        </w:rPr>
        <w:t xml:space="preserve"> del </w:t>
      </w:r>
      <w:proofErr w:type="spellStart"/>
      <w:r w:rsidRPr="1124EC56">
        <w:rPr>
          <w:rFonts w:ascii="Calibri" w:eastAsia="Calibri" w:hAnsi="Calibri" w:cs="Calibri"/>
        </w:rPr>
        <w:t>sistema</w:t>
      </w:r>
      <w:proofErr w:type="spellEnd"/>
      <w:r w:rsidRPr="1124EC56">
        <w:rPr>
          <w:rFonts w:ascii="Calibri" w:eastAsia="Calibri" w:hAnsi="Calibri" w:cs="Calibri"/>
        </w:rPr>
        <w:t xml:space="preserve"> escolar. </w:t>
      </w:r>
    </w:p>
    <w:p w14:paraId="5DE6E1E7" w14:textId="77777777" w:rsidR="006918AA" w:rsidRPr="00AF59A4" w:rsidRDefault="006918AA" w:rsidP="006918AA">
      <w:pPr>
        <w:pStyle w:val="Prrafodelista"/>
        <w:numPr>
          <w:ilvl w:val="1"/>
          <w:numId w:val="5"/>
        </w:numPr>
      </w:pPr>
      <w:proofErr w:type="spellStart"/>
      <w:r w:rsidRPr="1124EC56">
        <w:rPr>
          <w:rFonts w:ascii="Calibri" w:eastAsia="Calibri" w:hAnsi="Calibri" w:cs="Calibri"/>
        </w:rPr>
        <w:t>Espacios</w:t>
      </w:r>
      <w:proofErr w:type="spellEnd"/>
      <w:r w:rsidRPr="1124EC56">
        <w:rPr>
          <w:rFonts w:ascii="Calibri" w:eastAsia="Calibri" w:hAnsi="Calibri" w:cs="Calibri"/>
        </w:rPr>
        <w:t xml:space="preserve"> de </w:t>
      </w:r>
      <w:proofErr w:type="spellStart"/>
      <w:r w:rsidRPr="1124EC56">
        <w:rPr>
          <w:rFonts w:ascii="Calibri" w:eastAsia="Calibri" w:hAnsi="Calibri" w:cs="Calibri"/>
        </w:rPr>
        <w:t>realización</w:t>
      </w:r>
      <w:proofErr w:type="spellEnd"/>
      <w:r>
        <w:rPr>
          <w:rFonts w:ascii="Calibri" w:eastAsia="Calibri" w:hAnsi="Calibri" w:cs="Calibri"/>
        </w:rPr>
        <w:t xml:space="preserve">: las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realizarán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versión</w:t>
      </w:r>
      <w:proofErr w:type="spellEnd"/>
      <w:r>
        <w:rPr>
          <w:rFonts w:ascii="Calibri" w:eastAsia="Calibri" w:hAnsi="Calibri" w:cs="Calibri"/>
        </w:rPr>
        <w:t xml:space="preserve"> Online, </w:t>
      </w:r>
      <w:proofErr w:type="spellStart"/>
      <w:r>
        <w:rPr>
          <w:rFonts w:ascii="Calibri" w:eastAsia="Calibri" w:hAnsi="Calibri" w:cs="Calibri"/>
        </w:rPr>
        <w:t>mientras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pandemia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permita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realizar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presenciales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segura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7D7545D6" w14:textId="77777777" w:rsidR="006918AA" w:rsidRDefault="006918AA" w:rsidP="006918AA">
      <w:pPr>
        <w:pStyle w:val="Prrafodelista"/>
        <w:numPr>
          <w:ilvl w:val="1"/>
          <w:numId w:val="5"/>
        </w:numPr>
      </w:pPr>
      <w:proofErr w:type="spellStart"/>
      <w:r>
        <w:rPr>
          <w:rFonts w:ascii="Calibri" w:eastAsia="Calibri" w:hAnsi="Calibri" w:cs="Calibri"/>
        </w:rPr>
        <w:t>Perfil</w:t>
      </w:r>
      <w:proofErr w:type="spellEnd"/>
      <w:r>
        <w:rPr>
          <w:rFonts w:ascii="Calibri" w:eastAsia="Calibri" w:hAnsi="Calibri" w:cs="Calibri"/>
        </w:rPr>
        <w:t xml:space="preserve">: Se </w:t>
      </w:r>
      <w:proofErr w:type="spellStart"/>
      <w:r>
        <w:rPr>
          <w:rFonts w:ascii="Calibri" w:eastAsia="Calibri" w:hAnsi="Calibri" w:cs="Calibri"/>
        </w:rPr>
        <w:t>dará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preferencia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pertenezcan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segmento</w:t>
      </w:r>
      <w:proofErr w:type="spellEnd"/>
      <w:r>
        <w:rPr>
          <w:rFonts w:ascii="Calibri" w:eastAsia="Calibri" w:hAnsi="Calibri" w:cs="Calibri"/>
        </w:rPr>
        <w:t xml:space="preserve"> de población del 60%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vulnerable </w:t>
      </w:r>
      <w:proofErr w:type="spellStart"/>
      <w:r>
        <w:rPr>
          <w:rFonts w:ascii="Calibri" w:eastAsia="Calibri" w:hAnsi="Calibri" w:cs="Calibri"/>
        </w:rPr>
        <w:t>socioeconómicamente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acuerdo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registro</w:t>
      </w:r>
      <w:proofErr w:type="spellEnd"/>
      <w:r>
        <w:rPr>
          <w:rFonts w:ascii="Calibri" w:eastAsia="Calibri" w:hAnsi="Calibri" w:cs="Calibri"/>
        </w:rPr>
        <w:t xml:space="preserve"> social de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7052AAA" w14:textId="77777777" w:rsidR="006918AA" w:rsidRDefault="006918AA" w:rsidP="006918A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ubicación</w:t>
      </w:r>
      <w:proofErr w:type="spellEnd"/>
      <w:r>
        <w:rPr>
          <w:rFonts w:ascii="Calibri" w:eastAsia="Calibri" w:hAnsi="Calibri" w:cs="Calibri"/>
        </w:rPr>
        <w:t xml:space="preserve"> de los </w:t>
      </w:r>
      <w:proofErr w:type="spellStart"/>
      <w:r>
        <w:rPr>
          <w:rFonts w:ascii="Calibri" w:eastAsia="Calibri" w:hAnsi="Calibri" w:cs="Calibri"/>
        </w:rPr>
        <w:t>coworks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1124EC56">
        <w:rPr>
          <w:rFonts w:ascii="Calibri" w:eastAsia="Calibri" w:hAnsi="Calibri" w:cs="Calibri"/>
          <w:b/>
          <w:bCs/>
          <w:color w:val="0070C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</w:rPr>
        <w:t>según</w:t>
      </w:r>
      <w:proofErr w:type="spellEnd"/>
      <w:r>
        <w:rPr>
          <w:rFonts w:ascii="Calibri" w:eastAsia="Calibri" w:hAnsi="Calibri" w:cs="Calibri"/>
          <w:bCs/>
          <w:color w:val="000000" w:themeColor="text1"/>
        </w:rPr>
        <w:t xml:space="preserve"> la </w:t>
      </w:r>
      <w:proofErr w:type="spellStart"/>
      <w:r>
        <w:rPr>
          <w:rFonts w:ascii="Calibri" w:eastAsia="Calibri" w:hAnsi="Calibri" w:cs="Calibri"/>
          <w:bCs/>
          <w:color w:val="000000" w:themeColor="text1"/>
        </w:rPr>
        <w:t>distribución</w:t>
      </w:r>
      <w:proofErr w:type="spellEnd"/>
      <w:r>
        <w:rPr>
          <w:rFonts w:ascii="Calibri" w:eastAsia="Calibri" w:hAnsi="Calibri" w:cs="Calibri"/>
          <w:bCs/>
          <w:color w:val="000000" w:themeColor="text1"/>
        </w:rPr>
        <w:t xml:space="preserve"> regional de la </w:t>
      </w:r>
      <w:proofErr w:type="spellStart"/>
      <w:r>
        <w:rPr>
          <w:rFonts w:ascii="Calibri" w:eastAsia="Calibri" w:hAnsi="Calibri" w:cs="Calibri"/>
          <w:bCs/>
          <w:color w:val="000000" w:themeColor="text1"/>
        </w:rPr>
        <w:t>iniciativa</w:t>
      </w:r>
      <w:proofErr w:type="spellEnd"/>
      <w:r>
        <w:rPr>
          <w:rFonts w:ascii="Calibri" w:eastAsia="Calibri" w:hAnsi="Calibri" w:cs="Calibri"/>
          <w:bCs/>
          <w:color w:val="000000" w:themeColor="text1"/>
        </w:rPr>
        <w:t xml:space="preserve"> son las </w:t>
      </w:r>
      <w:proofErr w:type="spellStart"/>
      <w:r>
        <w:rPr>
          <w:rFonts w:ascii="Calibri" w:eastAsia="Calibri" w:hAnsi="Calibri" w:cs="Calibri"/>
          <w:bCs/>
          <w:color w:val="000000" w:themeColor="text1"/>
        </w:rPr>
        <w:t>siguientes</w:t>
      </w:r>
      <w:proofErr w:type="spellEnd"/>
      <w:r>
        <w:rPr>
          <w:rFonts w:ascii="Calibri" w:eastAsia="Calibri" w:hAnsi="Calibri" w:cs="Calibri"/>
          <w:bCs/>
          <w:color w:val="000000" w:themeColor="text1"/>
        </w:rPr>
        <w:t xml:space="preserve">: </w:t>
      </w:r>
    </w:p>
    <w:p w14:paraId="3C42826A" w14:textId="77777777" w:rsidR="006918AA" w:rsidRDefault="006918AA" w:rsidP="006918AA">
      <w:pPr>
        <w:pStyle w:val="Prrafodelista"/>
        <w:numPr>
          <w:ilvl w:val="1"/>
          <w:numId w:val="6"/>
        </w:numPr>
      </w:pPr>
      <w:r w:rsidRPr="1124EC56">
        <w:rPr>
          <w:rFonts w:ascii="Calibri" w:eastAsia="Calibri" w:hAnsi="Calibri" w:cs="Calibri"/>
        </w:rPr>
        <w:t xml:space="preserve">Tarapacá: </w:t>
      </w:r>
      <w:proofErr w:type="spellStart"/>
      <w:r w:rsidRPr="1124EC56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ubicado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 </w:t>
      </w:r>
      <w:proofErr w:type="spellStart"/>
      <w:r w:rsidRPr="1124EC56">
        <w:rPr>
          <w:rFonts w:ascii="Calibri" w:eastAsia="Calibri" w:hAnsi="Calibri" w:cs="Calibri"/>
        </w:rPr>
        <w:t>dirección</w:t>
      </w:r>
      <w:proofErr w:type="spellEnd"/>
      <w:r w:rsidRPr="1124EC56">
        <w:rPr>
          <w:rFonts w:ascii="Calibri" w:eastAsia="Calibri" w:hAnsi="Calibri" w:cs="Calibri"/>
        </w:rPr>
        <w:t xml:space="preserve"> regional del </w:t>
      </w:r>
      <w:r w:rsidRPr="1124EC56">
        <w:rPr>
          <w:rFonts w:ascii="Calibri" w:eastAsia="Calibri" w:hAnsi="Calibri" w:cs="Calibri"/>
          <w:b/>
          <w:bCs/>
        </w:rPr>
        <w:t>INJUV</w:t>
      </w:r>
      <w:r w:rsidRPr="1124EC56">
        <w:rPr>
          <w:rFonts w:ascii="Calibri" w:eastAsia="Calibri" w:hAnsi="Calibri" w:cs="Calibri"/>
        </w:rPr>
        <w:t xml:space="preserve"> Arturo Prat 940, Iquique</w:t>
      </w:r>
    </w:p>
    <w:p w14:paraId="5E92015C" w14:textId="77777777" w:rsidR="006918AA" w:rsidRDefault="006918AA" w:rsidP="006918AA">
      <w:pPr>
        <w:pStyle w:val="Prrafodelista"/>
        <w:numPr>
          <w:ilvl w:val="1"/>
          <w:numId w:val="6"/>
        </w:numPr>
      </w:pPr>
      <w:r w:rsidRPr="1124EC56">
        <w:rPr>
          <w:rFonts w:ascii="Calibri" w:eastAsia="Calibri" w:hAnsi="Calibri" w:cs="Calibri"/>
        </w:rPr>
        <w:t xml:space="preserve">Maule: </w:t>
      </w:r>
      <w:proofErr w:type="spellStart"/>
      <w:r w:rsidRPr="1124EC56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ubicado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 </w:t>
      </w:r>
      <w:proofErr w:type="spellStart"/>
      <w:r w:rsidRPr="1124EC56">
        <w:rPr>
          <w:rFonts w:ascii="Calibri" w:eastAsia="Calibri" w:hAnsi="Calibri" w:cs="Calibri"/>
        </w:rPr>
        <w:t>dirección</w:t>
      </w:r>
      <w:proofErr w:type="spellEnd"/>
      <w:r w:rsidRPr="1124EC56">
        <w:rPr>
          <w:rFonts w:ascii="Calibri" w:eastAsia="Calibri" w:hAnsi="Calibri" w:cs="Calibri"/>
        </w:rPr>
        <w:t xml:space="preserve"> regional del </w:t>
      </w:r>
      <w:r w:rsidRPr="1124EC56">
        <w:rPr>
          <w:rFonts w:ascii="Calibri" w:eastAsia="Calibri" w:hAnsi="Calibri" w:cs="Calibri"/>
          <w:b/>
          <w:bCs/>
        </w:rPr>
        <w:t>INJUV</w:t>
      </w:r>
      <w:r>
        <w:rPr>
          <w:rFonts w:ascii="Calibri" w:eastAsia="Calibri" w:hAnsi="Calibri" w:cs="Calibri"/>
        </w:rPr>
        <w:t xml:space="preserve"> </w:t>
      </w:r>
      <w:r w:rsidRPr="00C14E75">
        <w:rPr>
          <w:rFonts w:ascii="Calibri" w:eastAsia="Calibri" w:hAnsi="Calibri" w:cs="Calibri"/>
        </w:rPr>
        <w:t xml:space="preserve">4 </w:t>
      </w:r>
      <w:proofErr w:type="spellStart"/>
      <w:r w:rsidRPr="00C14E75">
        <w:rPr>
          <w:rFonts w:ascii="Calibri" w:eastAsia="Calibri" w:hAnsi="Calibri" w:cs="Calibri"/>
        </w:rPr>
        <w:t>norte</w:t>
      </w:r>
      <w:proofErr w:type="spellEnd"/>
      <w:r w:rsidRPr="00C14E75">
        <w:rPr>
          <w:rFonts w:ascii="Calibri" w:eastAsia="Calibri" w:hAnsi="Calibri" w:cs="Calibri"/>
        </w:rPr>
        <w:t xml:space="preserve"> 1154, Talca</w:t>
      </w:r>
    </w:p>
    <w:p w14:paraId="224B12FF" w14:textId="77777777" w:rsidR="006918AA" w:rsidRDefault="006918AA" w:rsidP="006918AA">
      <w:pPr>
        <w:pStyle w:val="Prrafodelista"/>
        <w:numPr>
          <w:ilvl w:val="1"/>
          <w:numId w:val="6"/>
        </w:numPr>
      </w:pPr>
      <w:r w:rsidRPr="1124EC56">
        <w:rPr>
          <w:rFonts w:ascii="Calibri" w:eastAsia="Calibri" w:hAnsi="Calibri" w:cs="Calibri"/>
        </w:rPr>
        <w:t xml:space="preserve">Bio </w:t>
      </w:r>
      <w:proofErr w:type="spellStart"/>
      <w:r w:rsidRPr="1124EC56">
        <w:rPr>
          <w:rFonts w:ascii="Calibri" w:eastAsia="Calibri" w:hAnsi="Calibri" w:cs="Calibri"/>
        </w:rPr>
        <w:t>Bio</w:t>
      </w:r>
      <w:proofErr w:type="spellEnd"/>
      <w:r w:rsidRPr="1124EC56">
        <w:rPr>
          <w:rFonts w:ascii="Calibri" w:eastAsia="Calibri" w:hAnsi="Calibri" w:cs="Calibri"/>
        </w:rPr>
        <w:t xml:space="preserve">: </w:t>
      </w:r>
      <w:proofErr w:type="spellStart"/>
      <w:r w:rsidRPr="1124EC56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ubicado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 </w:t>
      </w:r>
      <w:proofErr w:type="spellStart"/>
      <w:r w:rsidRPr="1124EC56">
        <w:rPr>
          <w:rFonts w:ascii="Calibri" w:eastAsia="Calibri" w:hAnsi="Calibri" w:cs="Calibri"/>
        </w:rPr>
        <w:t>dirección</w:t>
      </w:r>
      <w:proofErr w:type="spellEnd"/>
      <w:r w:rsidRPr="1124EC56">
        <w:rPr>
          <w:rFonts w:ascii="Calibri" w:eastAsia="Calibri" w:hAnsi="Calibri" w:cs="Calibri"/>
        </w:rPr>
        <w:t xml:space="preserve"> regional del</w:t>
      </w:r>
      <w:r w:rsidRPr="1124EC56">
        <w:rPr>
          <w:rFonts w:ascii="Calibri" w:eastAsia="Calibri" w:hAnsi="Calibri" w:cs="Calibri"/>
          <w:b/>
          <w:bCs/>
        </w:rPr>
        <w:t xml:space="preserve"> INJUV</w:t>
      </w:r>
      <w:r w:rsidRPr="1124EC56">
        <w:rPr>
          <w:rFonts w:ascii="Calibri" w:eastAsia="Calibri" w:hAnsi="Calibri" w:cs="Calibri"/>
        </w:rPr>
        <w:t xml:space="preserve"> Cochrane 790, Concepción</w:t>
      </w:r>
    </w:p>
    <w:p w14:paraId="35247BAE" w14:textId="77777777" w:rsidR="006918AA" w:rsidRDefault="006918AA" w:rsidP="006918AA">
      <w:pPr>
        <w:pStyle w:val="Prrafodelista"/>
        <w:numPr>
          <w:ilvl w:val="1"/>
          <w:numId w:val="6"/>
        </w:numPr>
      </w:pPr>
      <w:r w:rsidRPr="1124EC56">
        <w:rPr>
          <w:rFonts w:ascii="Calibri" w:eastAsia="Calibri" w:hAnsi="Calibri" w:cs="Calibri"/>
        </w:rPr>
        <w:t xml:space="preserve">Araucanía: </w:t>
      </w:r>
      <w:proofErr w:type="spellStart"/>
      <w:r w:rsidRPr="1124EC56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ubicado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 Universidad </w:t>
      </w:r>
      <w:proofErr w:type="spellStart"/>
      <w:r w:rsidRPr="1124EC56">
        <w:rPr>
          <w:rFonts w:ascii="Calibri" w:eastAsia="Calibri" w:hAnsi="Calibri" w:cs="Calibri"/>
        </w:rPr>
        <w:t>Autónoma</w:t>
      </w:r>
      <w:proofErr w:type="spellEnd"/>
      <w:r w:rsidRPr="1124EC56">
        <w:rPr>
          <w:rFonts w:ascii="Calibri" w:eastAsia="Calibri" w:hAnsi="Calibri" w:cs="Calibri"/>
        </w:rPr>
        <w:t xml:space="preserve"> de Temuco </w:t>
      </w:r>
      <w:r w:rsidRPr="1124EC56">
        <w:t xml:space="preserve">Calle </w:t>
      </w:r>
      <w:proofErr w:type="spellStart"/>
      <w:r w:rsidRPr="1124EC56">
        <w:t>Porvenir</w:t>
      </w:r>
      <w:proofErr w:type="spellEnd"/>
      <w:r w:rsidRPr="1124EC56">
        <w:t xml:space="preserve"> 660, </w:t>
      </w:r>
      <w:proofErr w:type="spellStart"/>
      <w:r w:rsidRPr="1124EC56">
        <w:t>Edificio</w:t>
      </w:r>
      <w:proofErr w:type="spellEnd"/>
      <w:r w:rsidRPr="1124EC56">
        <w:t xml:space="preserve"> L 4to </w:t>
      </w:r>
      <w:proofErr w:type="spellStart"/>
      <w:r w:rsidRPr="1124EC56">
        <w:t>piso</w:t>
      </w:r>
      <w:proofErr w:type="spellEnd"/>
      <w:r w:rsidRPr="1124EC56">
        <w:rPr>
          <w:rFonts w:ascii="Calibri" w:eastAsia="Calibri" w:hAnsi="Calibri" w:cs="Calibri"/>
        </w:rPr>
        <w:t xml:space="preserve"> </w:t>
      </w:r>
    </w:p>
    <w:p w14:paraId="53A9A125" w14:textId="77777777" w:rsidR="006918AA" w:rsidRDefault="006918AA" w:rsidP="006918AA">
      <w:pPr>
        <w:pStyle w:val="Prrafodelista"/>
        <w:numPr>
          <w:ilvl w:val="1"/>
          <w:numId w:val="6"/>
        </w:numPr>
      </w:pPr>
      <w:proofErr w:type="spellStart"/>
      <w:r w:rsidRPr="1124EC56">
        <w:rPr>
          <w:rFonts w:ascii="Calibri" w:eastAsia="Calibri" w:hAnsi="Calibri" w:cs="Calibri"/>
        </w:rPr>
        <w:t>Aysén</w:t>
      </w:r>
      <w:proofErr w:type="spellEnd"/>
      <w:r w:rsidRPr="1124EC56">
        <w:rPr>
          <w:rFonts w:ascii="Calibri" w:eastAsia="Calibri" w:hAnsi="Calibri" w:cs="Calibri"/>
        </w:rPr>
        <w:t xml:space="preserve">: </w:t>
      </w:r>
      <w:proofErr w:type="spellStart"/>
      <w:r w:rsidRPr="1124EC56">
        <w:rPr>
          <w:rFonts w:ascii="Calibri" w:eastAsia="Calibri" w:hAnsi="Calibri" w:cs="Calibri"/>
        </w:rPr>
        <w:t>INHub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ubicado</w:t>
      </w:r>
      <w:proofErr w:type="spellEnd"/>
      <w:r w:rsidRPr="1124EC56">
        <w:rPr>
          <w:rFonts w:ascii="Calibri" w:eastAsia="Calibri" w:hAnsi="Calibri" w:cs="Calibri"/>
        </w:rPr>
        <w:t xml:space="preserve"> </w:t>
      </w:r>
      <w:proofErr w:type="spellStart"/>
      <w:r w:rsidRPr="1124EC56">
        <w:rPr>
          <w:rFonts w:ascii="Calibri" w:eastAsia="Calibri" w:hAnsi="Calibri" w:cs="Calibri"/>
        </w:rPr>
        <w:t>en</w:t>
      </w:r>
      <w:proofErr w:type="spellEnd"/>
      <w:r w:rsidRPr="1124EC56">
        <w:rPr>
          <w:rFonts w:ascii="Calibri" w:eastAsia="Calibri" w:hAnsi="Calibri" w:cs="Calibri"/>
        </w:rPr>
        <w:t xml:space="preserve"> la </w:t>
      </w:r>
      <w:proofErr w:type="spellStart"/>
      <w:r w:rsidRPr="1124EC56">
        <w:rPr>
          <w:rFonts w:ascii="Calibri" w:eastAsia="Calibri" w:hAnsi="Calibri" w:cs="Calibri"/>
        </w:rPr>
        <w:t>dirección</w:t>
      </w:r>
      <w:proofErr w:type="spellEnd"/>
      <w:r w:rsidRPr="1124EC56">
        <w:rPr>
          <w:rFonts w:ascii="Calibri" w:eastAsia="Calibri" w:hAnsi="Calibri" w:cs="Calibri"/>
        </w:rPr>
        <w:t xml:space="preserve"> regional del </w:t>
      </w:r>
      <w:r w:rsidRPr="1124EC56">
        <w:rPr>
          <w:rFonts w:ascii="Calibri" w:eastAsia="Calibri" w:hAnsi="Calibri" w:cs="Calibri"/>
          <w:b/>
          <w:bCs/>
        </w:rPr>
        <w:t>INJUV</w:t>
      </w:r>
      <w:r w:rsidRPr="1124EC56">
        <w:rPr>
          <w:rFonts w:ascii="Calibri" w:eastAsia="Calibri" w:hAnsi="Calibri" w:cs="Calibri"/>
        </w:rPr>
        <w:t xml:space="preserve"> </w:t>
      </w:r>
      <w:r w:rsidRPr="00C14E75">
        <w:rPr>
          <w:rFonts w:ascii="Calibri" w:eastAsia="Calibri" w:hAnsi="Calibri" w:cs="Calibri"/>
        </w:rPr>
        <w:t xml:space="preserve">Manuel Rodriguez 239, </w:t>
      </w:r>
      <w:proofErr w:type="spellStart"/>
      <w:r w:rsidRPr="00C14E75">
        <w:rPr>
          <w:rFonts w:ascii="Calibri" w:eastAsia="Calibri" w:hAnsi="Calibri" w:cs="Calibri"/>
        </w:rPr>
        <w:t>Coyhaique</w:t>
      </w:r>
      <w:proofErr w:type="spellEnd"/>
      <w:r>
        <w:rPr>
          <w:rFonts w:ascii="Calibri" w:eastAsia="Calibri" w:hAnsi="Calibri" w:cs="Calibri"/>
        </w:rPr>
        <w:t>.</w:t>
      </w:r>
    </w:p>
    <w:p w14:paraId="2D97E79A" w14:textId="77777777" w:rsidR="006918AA" w:rsidRDefault="006918AA" w:rsidP="006918AA">
      <w:pPr>
        <w:jc w:val="both"/>
        <w:rPr>
          <w:rFonts w:ascii="Calibri" w:eastAsia="Calibri" w:hAnsi="Calibri" w:cs="Calibri"/>
        </w:rPr>
      </w:pPr>
      <w:proofErr w:type="spellStart"/>
      <w:r w:rsidRPr="58E802D7">
        <w:rPr>
          <w:rFonts w:ascii="Calibri" w:eastAsia="Calibri" w:hAnsi="Calibri" w:cs="Calibri"/>
        </w:rPr>
        <w:t>Estos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espacios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estarán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dispuestos</w:t>
      </w:r>
      <w:proofErr w:type="spellEnd"/>
      <w:r w:rsidRPr="58E802D7">
        <w:rPr>
          <w:rFonts w:ascii="Calibri" w:eastAsia="Calibri" w:hAnsi="Calibri" w:cs="Calibri"/>
        </w:rPr>
        <w:t xml:space="preserve"> para el </w:t>
      </w:r>
      <w:proofErr w:type="spellStart"/>
      <w:r w:rsidRPr="58E802D7">
        <w:rPr>
          <w:rFonts w:ascii="Calibri" w:eastAsia="Calibri" w:hAnsi="Calibri" w:cs="Calibri"/>
        </w:rPr>
        <w:t>desarrollo</w:t>
      </w:r>
      <w:proofErr w:type="spellEnd"/>
      <w:r w:rsidRPr="58E802D7">
        <w:rPr>
          <w:rFonts w:ascii="Calibri" w:eastAsia="Calibri" w:hAnsi="Calibri" w:cs="Calibri"/>
        </w:rPr>
        <w:t xml:space="preserve"> de </w:t>
      </w:r>
      <w:proofErr w:type="spellStart"/>
      <w:r w:rsidRPr="58E802D7">
        <w:rPr>
          <w:rFonts w:ascii="Calibri" w:eastAsia="Calibri" w:hAnsi="Calibri" w:cs="Calibri"/>
        </w:rPr>
        <w:t>cualquier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actividad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programada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desde</w:t>
      </w:r>
      <w:proofErr w:type="spellEnd"/>
      <w:r w:rsidRPr="58E802D7">
        <w:rPr>
          <w:rFonts w:ascii="Calibri" w:eastAsia="Calibri" w:hAnsi="Calibri" w:cs="Calibri"/>
        </w:rPr>
        <w:t xml:space="preserve"> la </w:t>
      </w:r>
      <w:proofErr w:type="spellStart"/>
      <w:r w:rsidRPr="58E802D7">
        <w:rPr>
          <w:rFonts w:ascii="Calibri" w:eastAsia="Calibri" w:hAnsi="Calibri" w:cs="Calibri"/>
        </w:rPr>
        <w:t>iniciativa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58E802D7">
        <w:rPr>
          <w:rFonts w:ascii="Calibri" w:eastAsia="Calibri" w:hAnsi="Calibri" w:cs="Calibri"/>
        </w:rPr>
        <w:t xml:space="preserve">, sin embargo, </w:t>
      </w:r>
      <w:proofErr w:type="spellStart"/>
      <w:r w:rsidRPr="58E802D7">
        <w:rPr>
          <w:rFonts w:ascii="Calibri" w:eastAsia="Calibri" w:hAnsi="Calibri" w:cs="Calibri"/>
        </w:rPr>
        <w:t>en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caso</w:t>
      </w:r>
      <w:proofErr w:type="spellEnd"/>
      <w:r w:rsidRPr="58E802D7">
        <w:rPr>
          <w:rFonts w:ascii="Calibri" w:eastAsia="Calibri" w:hAnsi="Calibri" w:cs="Calibri"/>
        </w:rPr>
        <w:t xml:space="preserve"> de no </w:t>
      </w:r>
      <w:proofErr w:type="spellStart"/>
      <w:r w:rsidRPr="58E802D7">
        <w:rPr>
          <w:rFonts w:ascii="Calibri" w:eastAsia="Calibri" w:hAnsi="Calibri" w:cs="Calibri"/>
        </w:rPr>
        <w:t>contar</w:t>
      </w:r>
      <w:proofErr w:type="spellEnd"/>
      <w:r w:rsidRPr="58E802D7">
        <w:rPr>
          <w:rFonts w:ascii="Calibri" w:eastAsia="Calibri" w:hAnsi="Calibri" w:cs="Calibri"/>
        </w:rPr>
        <w:t xml:space="preserve"> con el </w:t>
      </w:r>
      <w:proofErr w:type="spellStart"/>
      <w:r w:rsidRPr="58E802D7">
        <w:rPr>
          <w:rFonts w:ascii="Calibri" w:eastAsia="Calibri" w:hAnsi="Calibri" w:cs="Calibri"/>
        </w:rPr>
        <w:t>espacio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suficiente</w:t>
      </w:r>
      <w:proofErr w:type="spellEnd"/>
      <w:r w:rsidRPr="58E802D7">
        <w:rPr>
          <w:rFonts w:ascii="Calibri" w:eastAsia="Calibri" w:hAnsi="Calibri" w:cs="Calibri"/>
        </w:rPr>
        <w:t xml:space="preserve"> para </w:t>
      </w:r>
      <w:proofErr w:type="spellStart"/>
      <w:r w:rsidRPr="58E802D7">
        <w:rPr>
          <w:rFonts w:ascii="Calibri" w:eastAsia="Calibri" w:hAnsi="Calibri" w:cs="Calibri"/>
        </w:rPr>
        <w:t>desarrollar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alguna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actividad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programada</w:t>
      </w:r>
      <w:proofErr w:type="spellEnd"/>
      <w:r w:rsidRPr="58E802D7">
        <w:rPr>
          <w:rFonts w:ascii="Calibri" w:eastAsia="Calibri" w:hAnsi="Calibri" w:cs="Calibri"/>
        </w:rPr>
        <w:t xml:space="preserve"> que </w:t>
      </w:r>
      <w:proofErr w:type="spellStart"/>
      <w:r w:rsidRPr="58E802D7">
        <w:rPr>
          <w:rFonts w:ascii="Calibri" w:eastAsia="Calibri" w:hAnsi="Calibri" w:cs="Calibri"/>
        </w:rPr>
        <w:t>requiera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espacios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más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grandes</w:t>
      </w:r>
      <w:proofErr w:type="spellEnd"/>
      <w:r>
        <w:rPr>
          <w:rFonts w:ascii="Calibri" w:eastAsia="Calibri" w:hAnsi="Calibri" w:cs="Calibri"/>
        </w:rPr>
        <w:t xml:space="preserve"> o por </w:t>
      </w:r>
      <w:proofErr w:type="spellStart"/>
      <w:r>
        <w:rPr>
          <w:rFonts w:ascii="Calibri" w:eastAsia="Calibri" w:hAnsi="Calibri" w:cs="Calibri"/>
        </w:rPr>
        <w:t>condiciones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pandemia</w:t>
      </w:r>
      <w:proofErr w:type="spellEnd"/>
      <w:r w:rsidRPr="58E802D7">
        <w:rPr>
          <w:rFonts w:ascii="Calibri" w:eastAsia="Calibri" w:hAnsi="Calibri" w:cs="Calibri"/>
        </w:rPr>
        <w:t xml:space="preserve">, se </w:t>
      </w:r>
      <w:proofErr w:type="spellStart"/>
      <w:r w:rsidRPr="58E802D7">
        <w:rPr>
          <w:rFonts w:ascii="Calibri" w:eastAsia="Calibri" w:hAnsi="Calibri" w:cs="Calibri"/>
        </w:rPr>
        <w:t>deberá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definir</w:t>
      </w:r>
      <w:proofErr w:type="spellEnd"/>
      <w:r w:rsidRPr="58E802D7">
        <w:rPr>
          <w:rFonts w:ascii="Calibri" w:eastAsia="Calibri" w:hAnsi="Calibri" w:cs="Calibri"/>
        </w:rPr>
        <w:t xml:space="preserve"> un </w:t>
      </w:r>
      <w:proofErr w:type="spellStart"/>
      <w:r w:rsidRPr="58E802D7">
        <w:rPr>
          <w:rFonts w:ascii="Calibri" w:eastAsia="Calibri" w:hAnsi="Calibri" w:cs="Calibri"/>
        </w:rPr>
        <w:t>espacio</w:t>
      </w:r>
      <w:proofErr w:type="spellEnd"/>
      <w:r w:rsidRPr="58E802D7">
        <w:rPr>
          <w:rFonts w:ascii="Calibri" w:eastAsia="Calibri" w:hAnsi="Calibri" w:cs="Calibri"/>
        </w:rPr>
        <w:t xml:space="preserve"> con mayor </w:t>
      </w:r>
      <w:proofErr w:type="spellStart"/>
      <w:r w:rsidRPr="58E802D7">
        <w:rPr>
          <w:rFonts w:ascii="Calibri" w:eastAsia="Calibri" w:hAnsi="Calibri" w:cs="Calibri"/>
        </w:rPr>
        <w:t>aforo</w:t>
      </w:r>
      <w:proofErr w:type="spellEnd"/>
      <w:r w:rsidRPr="58E802D7">
        <w:rPr>
          <w:rFonts w:ascii="Calibri" w:eastAsia="Calibri" w:hAnsi="Calibri" w:cs="Calibri"/>
        </w:rPr>
        <w:t xml:space="preserve"> el </w:t>
      </w:r>
      <w:proofErr w:type="spellStart"/>
      <w:r w:rsidRPr="58E802D7">
        <w:rPr>
          <w:rFonts w:ascii="Calibri" w:eastAsia="Calibri" w:hAnsi="Calibri" w:cs="Calibri"/>
        </w:rPr>
        <w:t>cuál</w:t>
      </w:r>
      <w:proofErr w:type="spellEnd"/>
      <w:r w:rsidRPr="58E802D7">
        <w:rPr>
          <w:rFonts w:ascii="Calibri" w:eastAsia="Calibri" w:hAnsi="Calibri" w:cs="Calibri"/>
        </w:rPr>
        <w:t xml:space="preserve"> debe ser </w:t>
      </w:r>
      <w:proofErr w:type="spellStart"/>
      <w:r w:rsidRPr="58E802D7">
        <w:rPr>
          <w:rFonts w:ascii="Calibri" w:eastAsia="Calibri" w:hAnsi="Calibri" w:cs="Calibri"/>
        </w:rPr>
        <w:t>gestionado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conjuntamente</w:t>
      </w:r>
      <w:proofErr w:type="spellEnd"/>
      <w:r w:rsidRPr="58E802D7">
        <w:rPr>
          <w:rFonts w:ascii="Calibri" w:eastAsia="Calibri" w:hAnsi="Calibri" w:cs="Calibri"/>
        </w:rPr>
        <w:t xml:space="preserve"> entre el </w:t>
      </w:r>
      <w:proofErr w:type="spellStart"/>
      <w:r w:rsidRPr="58E802D7">
        <w:rPr>
          <w:rFonts w:ascii="Calibri" w:eastAsia="Calibri" w:hAnsi="Calibri" w:cs="Calibri"/>
        </w:rPr>
        <w:t>operador</w:t>
      </w:r>
      <w:proofErr w:type="spellEnd"/>
      <w:r w:rsidRPr="58E802D7">
        <w:rPr>
          <w:rFonts w:ascii="Calibri" w:eastAsia="Calibri" w:hAnsi="Calibri" w:cs="Calibri"/>
        </w:rPr>
        <w:t xml:space="preserve"> del </w:t>
      </w:r>
      <w:proofErr w:type="spellStart"/>
      <w:r w:rsidRPr="58E802D7">
        <w:rPr>
          <w:rFonts w:ascii="Calibri" w:eastAsia="Calibri" w:hAnsi="Calibri" w:cs="Calibri"/>
        </w:rPr>
        <w:t>programa</w:t>
      </w:r>
      <w:proofErr w:type="spellEnd"/>
      <w:r w:rsidRPr="58E802D7">
        <w:rPr>
          <w:rFonts w:ascii="Calibri" w:eastAsia="Calibri" w:hAnsi="Calibri" w:cs="Calibri"/>
        </w:rPr>
        <w:t xml:space="preserve"> y la </w:t>
      </w:r>
      <w:proofErr w:type="spellStart"/>
      <w:r w:rsidRPr="58E802D7">
        <w:rPr>
          <w:rFonts w:ascii="Calibri" w:eastAsia="Calibri" w:hAnsi="Calibri" w:cs="Calibri"/>
        </w:rPr>
        <w:t>coordinación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programática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  <w:b/>
          <w:bCs/>
          <w:color w:val="0070C0"/>
          <w:u w:val="single"/>
        </w:rPr>
        <w:t>INHub</w:t>
      </w:r>
      <w:proofErr w:type="spellEnd"/>
      <w:r w:rsidRPr="58E802D7">
        <w:rPr>
          <w:rFonts w:ascii="Calibri" w:eastAsia="Calibri" w:hAnsi="Calibri" w:cs="Calibri"/>
        </w:rPr>
        <w:t xml:space="preserve"> a </w:t>
      </w:r>
      <w:proofErr w:type="spellStart"/>
      <w:r w:rsidRPr="58E802D7">
        <w:rPr>
          <w:rFonts w:ascii="Calibri" w:eastAsia="Calibri" w:hAnsi="Calibri" w:cs="Calibri"/>
        </w:rPr>
        <w:t>nivel</w:t>
      </w:r>
      <w:proofErr w:type="spellEnd"/>
      <w:r w:rsidRPr="58E802D7">
        <w:rPr>
          <w:rFonts w:ascii="Calibri" w:eastAsia="Calibri" w:hAnsi="Calibri" w:cs="Calibri"/>
        </w:rPr>
        <w:t xml:space="preserve"> </w:t>
      </w:r>
      <w:proofErr w:type="spellStart"/>
      <w:r w:rsidRPr="58E802D7">
        <w:rPr>
          <w:rFonts w:ascii="Calibri" w:eastAsia="Calibri" w:hAnsi="Calibri" w:cs="Calibri"/>
        </w:rPr>
        <w:t>nacional</w:t>
      </w:r>
      <w:proofErr w:type="spellEnd"/>
      <w:r w:rsidRPr="58E802D7">
        <w:rPr>
          <w:rFonts w:ascii="Calibri" w:eastAsia="Calibri" w:hAnsi="Calibri" w:cs="Calibri"/>
        </w:rPr>
        <w:t xml:space="preserve">. </w:t>
      </w:r>
    </w:p>
    <w:p w14:paraId="2840DCC0" w14:textId="77777777" w:rsidR="00DF7314" w:rsidRDefault="00DF7314" w:rsidP="004D54CC">
      <w:pPr>
        <w:spacing w:after="240"/>
        <w:jc w:val="both"/>
        <w:rPr>
          <w:rFonts w:asciiTheme="majorHAnsi" w:hAnsiTheme="majorHAnsi" w:cstheme="majorHAnsi"/>
          <w:b/>
          <w:bCs/>
          <w:lang w:val="es-CL"/>
        </w:rPr>
      </w:pPr>
    </w:p>
    <w:p w14:paraId="3B1ECDDB" w14:textId="6AF08590" w:rsidR="004D54CC" w:rsidRPr="00C36930" w:rsidRDefault="004D54CC" w:rsidP="004D54CC">
      <w:pPr>
        <w:spacing w:after="240"/>
        <w:jc w:val="both"/>
        <w:rPr>
          <w:rFonts w:asciiTheme="majorHAnsi" w:hAnsiTheme="majorHAnsi" w:cstheme="majorHAnsi"/>
          <w:b/>
          <w:bCs/>
          <w:u w:val="single"/>
          <w:lang w:val="es-CL"/>
        </w:rPr>
      </w:pPr>
      <w:r w:rsidRPr="00C36930">
        <w:rPr>
          <w:rFonts w:asciiTheme="majorHAnsi" w:hAnsiTheme="majorHAnsi" w:cstheme="majorHAnsi"/>
          <w:b/>
          <w:bCs/>
          <w:lang w:val="es-CL"/>
        </w:rPr>
        <w:t>RESPONSABILIDADES DEL EJECUTOR ADJUDICATARIO DEL CONCURSO</w:t>
      </w:r>
    </w:p>
    <w:p w14:paraId="27CC2CB7" w14:textId="7769B226" w:rsidR="004D54CC" w:rsidRPr="00C36930" w:rsidRDefault="004D54CC" w:rsidP="004D54CC">
      <w:pPr>
        <w:jc w:val="both"/>
        <w:rPr>
          <w:rFonts w:asciiTheme="majorHAnsi" w:hAnsiTheme="majorHAnsi" w:cstheme="majorHAnsi"/>
          <w:lang w:val="es-CL"/>
        </w:rPr>
      </w:pPr>
      <w:r w:rsidRPr="00C36930">
        <w:rPr>
          <w:rFonts w:asciiTheme="majorHAnsi" w:hAnsiTheme="majorHAnsi" w:cstheme="majorHAnsi"/>
          <w:lang w:val="es-CL"/>
        </w:rPr>
        <w:t xml:space="preserve">La entidad ejecutora adjudicataria de este concurso tendrá la responsabilidad de ejecutar, en coordinación y bajo la supervisión de INJUV, </w:t>
      </w:r>
      <w:r w:rsidR="00DF7314">
        <w:rPr>
          <w:rFonts w:asciiTheme="majorHAnsi" w:hAnsiTheme="majorHAnsi" w:cstheme="majorHAnsi"/>
          <w:lang w:val="es-CL"/>
        </w:rPr>
        <w:t>las actividades detalladas en el formulario de postulación</w:t>
      </w:r>
      <w:r w:rsidRPr="00C36930">
        <w:rPr>
          <w:rFonts w:asciiTheme="majorHAnsi" w:hAnsiTheme="majorHAnsi" w:cstheme="majorHAnsi"/>
          <w:lang w:val="es-CL"/>
        </w:rPr>
        <w:t xml:space="preserve">. Para su realización, la entidad ejecutora externa deberá seguir las orientaciones indicadas en </w:t>
      </w:r>
      <w:r w:rsidR="00DF7314">
        <w:rPr>
          <w:rFonts w:asciiTheme="majorHAnsi" w:hAnsiTheme="majorHAnsi" w:cstheme="majorHAnsi"/>
          <w:lang w:val="es-CL"/>
        </w:rPr>
        <w:t>el presente anexo y a través de las minutas administrativas de INHUB.</w:t>
      </w:r>
    </w:p>
    <w:p w14:paraId="5EDC405F" w14:textId="5AEA1EEA" w:rsidR="004D54CC" w:rsidRPr="00C36930" w:rsidRDefault="004D54CC" w:rsidP="004D54CC">
      <w:pPr>
        <w:jc w:val="both"/>
        <w:rPr>
          <w:rFonts w:asciiTheme="majorHAnsi" w:hAnsiTheme="majorHAnsi" w:cstheme="majorHAnsi"/>
          <w:lang w:val="es-CL"/>
        </w:rPr>
      </w:pPr>
      <w:r w:rsidRPr="00C36930">
        <w:rPr>
          <w:rFonts w:asciiTheme="majorHAnsi" w:hAnsiTheme="majorHAnsi" w:cstheme="majorHAnsi"/>
          <w:lang w:val="es-CL"/>
        </w:rPr>
        <w:t xml:space="preserve">A modo general, </w:t>
      </w:r>
      <w:r w:rsidR="00DF7314" w:rsidRPr="00C36930">
        <w:rPr>
          <w:rFonts w:asciiTheme="majorHAnsi" w:hAnsiTheme="majorHAnsi" w:cstheme="majorHAnsi"/>
          <w:lang w:val="es-CL"/>
        </w:rPr>
        <w:t>las principales</w:t>
      </w:r>
      <w:r w:rsidRPr="00C36930">
        <w:rPr>
          <w:rFonts w:asciiTheme="majorHAnsi" w:hAnsiTheme="majorHAnsi" w:cstheme="majorHAnsi"/>
          <w:lang w:val="es-CL"/>
        </w:rPr>
        <w:t xml:space="preserve"> responsabilidades del ejecutor transversales a todo el proyecto son:</w:t>
      </w:r>
    </w:p>
    <w:p w14:paraId="429E58D3" w14:textId="77777777" w:rsidR="004D54CC" w:rsidRDefault="004D54CC" w:rsidP="004D54CC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7D30CDBF">
        <w:rPr>
          <w:rFonts w:asciiTheme="majorHAnsi" w:hAnsiTheme="majorHAnsi" w:cstheme="majorBidi"/>
          <w:lang w:val="es-CL"/>
        </w:rPr>
        <w:t>Contacto permanente con contrapartes del nivel central y de cada región.</w:t>
      </w:r>
    </w:p>
    <w:p w14:paraId="788BB83D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Colaborar en la implementación de procesos administrativos, de seguridad y mantención para el funcionamiento del espacio.</w:t>
      </w:r>
    </w:p>
    <w:p w14:paraId="2327E570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Colaborar en la organización de talleres y eventos desarrollados en el espacio.</w:t>
      </w:r>
    </w:p>
    <w:p w14:paraId="4C99B51B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lastRenderedPageBreak/>
        <w:t>Coordinar las actividades de vinculación de los espacios de trabajo colaborativo con el medio externo.</w:t>
      </w:r>
    </w:p>
    <w:p w14:paraId="3FC5A839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Asegurar la calidad de los procesos de formación, actividades y talleres en el marco de Mi Emprendimiento y Casa TALLER, dentro de los espacios.</w:t>
      </w:r>
    </w:p>
    <w:p w14:paraId="1CD35D43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Apoyar en el diseño, implementación y ejecución de los diversos programas llevados a cabo por los nuevos espacios de trabajo colaborativo y asociativo.</w:t>
      </w:r>
    </w:p>
    <w:p w14:paraId="73ADA2E9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Apoyar en el diseño y coordinar la implementación de los programas de desarrollo de capacidades para jóvenes asistentes al espacio colaborativo y asociativo y su entorno.</w:t>
      </w:r>
    </w:p>
    <w:p w14:paraId="674FC119" w14:textId="77777777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Apoyar en la difusión de la iniciativa y sus actividades.</w:t>
      </w:r>
    </w:p>
    <w:p w14:paraId="025F79BA" w14:textId="0480DB39" w:rsidR="004D54CC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>Generar reportes, informes con evidencia de las actividades y gestiones realizadas.</w:t>
      </w:r>
    </w:p>
    <w:p w14:paraId="5E66D6B2" w14:textId="5601DBF1" w:rsidR="00DF7314" w:rsidRPr="00DF7314" w:rsidRDefault="00DF7314" w:rsidP="00DF7314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Bidi"/>
          <w:lang w:val="es-CL"/>
        </w:rPr>
      </w:pPr>
      <w:r w:rsidRPr="00DF7314">
        <w:rPr>
          <w:rFonts w:asciiTheme="majorHAnsi" w:hAnsiTheme="majorHAnsi" w:cstheme="majorBidi"/>
          <w:lang w:val="es-CL"/>
        </w:rPr>
        <w:t xml:space="preserve">El equipo ejecutor, en coordinación con el INJUV, será el responsable de desarrollar las estrategias destinadas a convocar a las/os jóvenes que cumplan con los criterios de ingreso y se interesen en participar de la iniciativa </w:t>
      </w:r>
      <w:proofErr w:type="spellStart"/>
      <w:r w:rsidRPr="00DF7314">
        <w:rPr>
          <w:rFonts w:asciiTheme="majorHAnsi" w:hAnsiTheme="majorHAnsi" w:cstheme="majorBidi"/>
          <w:lang w:val="es-CL"/>
        </w:rPr>
        <w:t>INHub</w:t>
      </w:r>
      <w:proofErr w:type="spellEnd"/>
      <w:r w:rsidRPr="00DF7314">
        <w:rPr>
          <w:rFonts w:asciiTheme="majorHAnsi" w:hAnsiTheme="majorHAnsi" w:cstheme="majorBidi"/>
          <w:lang w:val="es-CL"/>
        </w:rPr>
        <w:t xml:space="preserve">. Para esto deberán vincularse a redes estratégicas locales como instituciones de educación secundaria, universidades, clubes deportivos, grupos culturales y otros, dando a conocer los objetivos del proyecto, la población objetivo y la metodología </w:t>
      </w:r>
      <w:proofErr w:type="spellStart"/>
      <w:r w:rsidRPr="00DF7314">
        <w:rPr>
          <w:rFonts w:asciiTheme="majorHAnsi" w:hAnsiTheme="majorHAnsi" w:cstheme="majorBidi"/>
          <w:lang w:val="es-CL"/>
        </w:rPr>
        <w:t>INHub</w:t>
      </w:r>
      <w:proofErr w:type="spellEnd"/>
      <w:r w:rsidRPr="00DF7314">
        <w:rPr>
          <w:rFonts w:asciiTheme="majorHAnsi" w:hAnsiTheme="majorHAnsi" w:cstheme="majorBidi"/>
          <w:lang w:val="es-CL"/>
        </w:rPr>
        <w:t>.</w:t>
      </w:r>
    </w:p>
    <w:p w14:paraId="23CD8D4B" w14:textId="77777777" w:rsidR="004D54CC" w:rsidRPr="00C36930" w:rsidRDefault="004D54CC" w:rsidP="004D54CC">
      <w:pPr>
        <w:pStyle w:val="Sinespaciado"/>
        <w:jc w:val="both"/>
        <w:rPr>
          <w:rFonts w:asciiTheme="majorHAnsi" w:hAnsiTheme="majorHAnsi" w:cstheme="majorHAnsi"/>
          <w:lang w:val="es-CL"/>
        </w:rPr>
      </w:pPr>
    </w:p>
    <w:p w14:paraId="1FB23CFC" w14:textId="77777777" w:rsidR="004D54CC" w:rsidRPr="00C36930" w:rsidRDefault="004D54CC" w:rsidP="004D54CC">
      <w:pPr>
        <w:spacing w:after="240"/>
        <w:jc w:val="both"/>
        <w:rPr>
          <w:rFonts w:asciiTheme="majorHAnsi" w:hAnsiTheme="majorHAnsi" w:cstheme="majorHAnsi"/>
          <w:b/>
          <w:bCs/>
          <w:color w:val="000000" w:themeColor="text1"/>
          <w:lang w:val="es-CL"/>
        </w:rPr>
      </w:pPr>
      <w:r w:rsidRPr="00C36930">
        <w:rPr>
          <w:rFonts w:asciiTheme="majorHAnsi" w:hAnsiTheme="majorHAnsi" w:cstheme="majorHAnsi"/>
          <w:b/>
          <w:bCs/>
          <w:lang w:val="es-CL"/>
        </w:rPr>
        <w:t>RESPONSABILIDADES DEL INSTITUTO NACIONAL DE LA JUVENTUD</w:t>
      </w:r>
    </w:p>
    <w:p w14:paraId="13DA45A6" w14:textId="77777777" w:rsidR="004D54CC" w:rsidRPr="00C36930" w:rsidRDefault="004D54CC" w:rsidP="004D54CC">
      <w:pPr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  <w:r w:rsidRPr="00C36930">
        <w:rPr>
          <w:rFonts w:asciiTheme="majorHAnsi" w:hAnsiTheme="majorHAnsi" w:cstheme="majorHAnsi"/>
          <w:bCs/>
          <w:color w:val="000000" w:themeColor="text1"/>
          <w:lang w:val="es-CL"/>
        </w:rPr>
        <w:t xml:space="preserve">La ejecución del programa será realizada por el INJUV (a través de su nivel central y oficinas regionales), el PNUD y ejecutores externos. De esta manera, la implementación de las actividades exige una permanente articulación y coordinación del ejecutor con el INJUV. </w:t>
      </w:r>
    </w:p>
    <w:p w14:paraId="37AEAA53" w14:textId="77777777" w:rsidR="004D54CC" w:rsidRPr="00C36930" w:rsidRDefault="004D54CC" w:rsidP="004D54CC">
      <w:pPr>
        <w:jc w:val="both"/>
        <w:rPr>
          <w:rFonts w:asciiTheme="majorHAnsi" w:hAnsiTheme="majorHAnsi" w:cstheme="majorHAnsi"/>
          <w:bCs/>
          <w:color w:val="000000" w:themeColor="text1"/>
          <w:lang w:val="es-CL"/>
        </w:rPr>
      </w:pPr>
      <w:r w:rsidRPr="16C25F1E">
        <w:rPr>
          <w:rFonts w:asciiTheme="majorHAnsi" w:hAnsiTheme="majorHAnsi" w:cstheme="majorBidi"/>
          <w:color w:val="000000" w:themeColor="text1"/>
          <w:lang w:val="es-CL"/>
        </w:rPr>
        <w:t>Entre las principales responsabilidades del INJUV para esta coordinación, se tienen:</w:t>
      </w:r>
    </w:p>
    <w:p w14:paraId="42C914C2" w14:textId="7D6DFD64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Realizar inducción</w:t>
      </w:r>
      <w:r w:rsidRPr="00FB2A77">
        <w:t xml:space="preserve"> </w:t>
      </w:r>
      <w:r w:rsidRPr="00FB2A77">
        <w:rPr>
          <w:rFonts w:asciiTheme="majorHAnsi" w:hAnsiTheme="majorHAnsi" w:cstheme="majorBidi"/>
          <w:lang w:val="es-CL"/>
        </w:rPr>
        <w:t xml:space="preserve">sobre componentes y contenidos que aborda el programa </w:t>
      </w:r>
      <w:r w:rsidR="00DF7314">
        <w:rPr>
          <w:rFonts w:asciiTheme="majorHAnsi" w:hAnsiTheme="majorHAnsi" w:cstheme="majorBidi"/>
          <w:lang w:val="es-CL"/>
        </w:rPr>
        <w:t>INHUB</w:t>
      </w:r>
      <w:r w:rsidRPr="00FB2A77">
        <w:rPr>
          <w:rFonts w:asciiTheme="majorHAnsi" w:hAnsiTheme="majorHAnsi" w:cstheme="majorBidi"/>
          <w:lang w:val="es-CL"/>
        </w:rPr>
        <w:t xml:space="preserve"> y su funcionamiento</w:t>
      </w:r>
    </w:p>
    <w:p w14:paraId="372E31D1" w14:textId="32D607E2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Participar activamente en la ejecución de l</w:t>
      </w:r>
      <w:r w:rsidR="00DF7314">
        <w:rPr>
          <w:rFonts w:asciiTheme="majorHAnsi" w:hAnsiTheme="majorHAnsi" w:cstheme="majorBidi"/>
          <w:lang w:val="es-CL"/>
        </w:rPr>
        <w:t>as actividades</w:t>
      </w:r>
      <w:r w:rsidRPr="00FB2A77">
        <w:rPr>
          <w:rFonts w:asciiTheme="majorHAnsi" w:hAnsiTheme="majorHAnsi" w:cstheme="majorBidi"/>
          <w:lang w:val="es-CL"/>
        </w:rPr>
        <w:t>.</w:t>
      </w:r>
    </w:p>
    <w:p w14:paraId="0239E284" w14:textId="4A76DD16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Coordinar conjuntamente los roles que los profesionales de INJUV y otros actores tendrán en la realización de l</w:t>
      </w:r>
      <w:r w:rsidR="00DF7314">
        <w:rPr>
          <w:rFonts w:asciiTheme="majorHAnsi" w:hAnsiTheme="majorHAnsi" w:cstheme="majorBidi"/>
          <w:lang w:val="es-CL"/>
        </w:rPr>
        <w:t>as actividades.</w:t>
      </w:r>
    </w:p>
    <w:p w14:paraId="01B38F4A" w14:textId="77777777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Supervisar el cumplimiento de las responsabilidades por parte del ejecutor (metodología, secuencia de actividades, estándares de alimentación, plazos, financiamiento de transporte y alojamiento).</w:t>
      </w:r>
    </w:p>
    <w:p w14:paraId="608CB93D" w14:textId="0FACEF27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Completar los registros de información y supervisión según Anexo</w:t>
      </w:r>
      <w:r>
        <w:rPr>
          <w:rFonts w:asciiTheme="majorHAnsi" w:hAnsiTheme="majorHAnsi" w:cstheme="majorBidi"/>
          <w:lang w:val="es-CL"/>
        </w:rPr>
        <w:t>s</w:t>
      </w:r>
      <w:r w:rsidRPr="00FB2A77">
        <w:rPr>
          <w:rFonts w:asciiTheme="majorHAnsi" w:hAnsiTheme="majorHAnsi" w:cstheme="majorBidi"/>
          <w:lang w:val="es-CL"/>
        </w:rPr>
        <w:t>.</w:t>
      </w:r>
    </w:p>
    <w:p w14:paraId="11AB4235" w14:textId="1DC57596" w:rsidR="004D54CC" w:rsidRPr="00FB2A77" w:rsidRDefault="004D54CC" w:rsidP="004D54CC">
      <w:pPr>
        <w:pStyle w:val="Prrafodelista"/>
        <w:numPr>
          <w:ilvl w:val="0"/>
          <w:numId w:val="2"/>
        </w:numPr>
        <w:jc w:val="both"/>
        <w:rPr>
          <w:rFonts w:asciiTheme="majorHAnsi" w:eastAsiaTheme="minorEastAsia" w:hAnsiTheme="majorHAnsi" w:cstheme="majorBidi"/>
          <w:i/>
          <w:iCs/>
          <w:lang w:val="es-CL"/>
        </w:rPr>
      </w:pPr>
      <w:r w:rsidRPr="00FB2A77">
        <w:rPr>
          <w:rFonts w:asciiTheme="majorHAnsi" w:hAnsiTheme="majorHAnsi" w:cstheme="majorBidi"/>
          <w:lang w:val="es-CL"/>
        </w:rPr>
        <w:t>Recopilar verificador</w:t>
      </w:r>
      <w:r w:rsidR="00DF7314">
        <w:rPr>
          <w:rFonts w:asciiTheme="majorHAnsi" w:hAnsiTheme="majorHAnsi" w:cstheme="majorBidi"/>
          <w:lang w:val="es-CL"/>
        </w:rPr>
        <w:t>es</w:t>
      </w:r>
      <w:r w:rsidRPr="00FB2A77">
        <w:rPr>
          <w:rFonts w:asciiTheme="majorHAnsi" w:hAnsiTheme="majorHAnsi" w:cstheme="majorBidi"/>
          <w:lang w:val="es-CL"/>
        </w:rPr>
        <w:t xml:space="preserve"> asociado a las actividades.</w:t>
      </w:r>
    </w:p>
    <w:p w14:paraId="7217B069" w14:textId="77777777" w:rsidR="004D54CC" w:rsidRPr="00C36930" w:rsidRDefault="004D54CC" w:rsidP="004D54CC">
      <w:pPr>
        <w:rPr>
          <w:lang w:val="es-CL" w:eastAsia="es-CL"/>
        </w:rPr>
      </w:pPr>
    </w:p>
    <w:p w14:paraId="11D79F16" w14:textId="77777777" w:rsidR="004D54CC" w:rsidRDefault="004D54CC" w:rsidP="004D54CC">
      <w:pPr>
        <w:rPr>
          <w:lang w:val="es-CL" w:eastAsia="es-CL"/>
        </w:rPr>
      </w:pPr>
    </w:p>
    <w:p w14:paraId="668F076E" w14:textId="77777777" w:rsidR="006733B3" w:rsidRDefault="006733B3"/>
    <w:sectPr w:rsidR="006733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9DF2B" w14:textId="77777777" w:rsidR="00DF7314" w:rsidRDefault="00DF7314" w:rsidP="00D6758B">
      <w:pPr>
        <w:spacing w:after="0" w:line="240" w:lineRule="auto"/>
      </w:pPr>
      <w:r>
        <w:separator/>
      </w:r>
    </w:p>
  </w:endnote>
  <w:endnote w:type="continuationSeparator" w:id="0">
    <w:p w14:paraId="72DF5D3B" w14:textId="77777777" w:rsidR="00DF7314" w:rsidRDefault="00DF7314" w:rsidP="00D6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CD18" w14:textId="77777777" w:rsidR="00DF7314" w:rsidRDefault="00DF7314" w:rsidP="00D6758B">
      <w:pPr>
        <w:spacing w:after="0" w:line="240" w:lineRule="auto"/>
      </w:pPr>
      <w:r>
        <w:separator/>
      </w:r>
    </w:p>
  </w:footnote>
  <w:footnote w:type="continuationSeparator" w:id="0">
    <w:p w14:paraId="4EA00487" w14:textId="77777777" w:rsidR="00DF7314" w:rsidRDefault="00DF7314" w:rsidP="00D6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430DE" w14:textId="5B83C6AC" w:rsidR="00DF7314" w:rsidRDefault="00DF7314">
    <w:pPr>
      <w:pStyle w:val="Encabezado"/>
    </w:pPr>
    <w:r w:rsidRPr="00D6758B">
      <w:rPr>
        <w:noProof/>
      </w:rPr>
      <w:drawing>
        <wp:anchor distT="0" distB="0" distL="114300" distR="114300" simplePos="0" relativeHeight="251660288" behindDoc="1" locked="0" layoutInCell="1" allowOverlap="1" wp14:anchorId="101E25C9" wp14:editId="660CAEED">
          <wp:simplePos x="0" y="0"/>
          <wp:positionH relativeFrom="column">
            <wp:posOffset>4664710</wp:posOffset>
          </wp:positionH>
          <wp:positionV relativeFrom="paragraph">
            <wp:posOffset>82550</wp:posOffset>
          </wp:positionV>
          <wp:extent cx="1133475" cy="400050"/>
          <wp:effectExtent l="0" t="0" r="9525" b="0"/>
          <wp:wrapTight wrapText="bothSides">
            <wp:wrapPolygon edited="0">
              <wp:start x="726" y="0"/>
              <wp:lineTo x="0" y="16457"/>
              <wp:lineTo x="0" y="20571"/>
              <wp:lineTo x="21418" y="20571"/>
              <wp:lineTo x="21418" y="0"/>
              <wp:lineTo x="726" y="0"/>
            </wp:wrapPolygon>
          </wp:wrapTight>
          <wp:docPr id="2" name="Imagen 2" descr="Resultado de imagen para INJUV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JUV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58B">
      <w:rPr>
        <w:noProof/>
      </w:rPr>
      <w:drawing>
        <wp:anchor distT="0" distB="0" distL="114300" distR="114300" simplePos="0" relativeHeight="251659264" behindDoc="1" locked="0" layoutInCell="1" allowOverlap="1" wp14:anchorId="0C3F776F" wp14:editId="38767E0B">
          <wp:simplePos x="0" y="0"/>
          <wp:positionH relativeFrom="column">
            <wp:posOffset>-838200</wp:posOffset>
          </wp:positionH>
          <wp:positionV relativeFrom="paragraph">
            <wp:posOffset>-282575</wp:posOffset>
          </wp:positionV>
          <wp:extent cx="962025" cy="874568"/>
          <wp:effectExtent l="0" t="0" r="0" b="1905"/>
          <wp:wrapNone/>
          <wp:docPr id="17" name="Imagen 17" descr="Resultado de imagen para logo ministerio de desarrollo social y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de desarrollo social y fami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19FB"/>
    <w:multiLevelType w:val="hybridMultilevel"/>
    <w:tmpl w:val="DAC205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D17E6"/>
    <w:multiLevelType w:val="hybridMultilevel"/>
    <w:tmpl w:val="16089DA6"/>
    <w:lvl w:ilvl="0" w:tplc="91B4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A64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C0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3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AD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0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A3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9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92D"/>
    <w:multiLevelType w:val="multilevel"/>
    <w:tmpl w:val="EB76CBE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73EFC"/>
    <w:multiLevelType w:val="hybridMultilevel"/>
    <w:tmpl w:val="8B96731C"/>
    <w:lvl w:ilvl="0" w:tplc="66D43E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2821"/>
    <w:multiLevelType w:val="hybridMultilevel"/>
    <w:tmpl w:val="A17CB52E"/>
    <w:lvl w:ilvl="0" w:tplc="070A4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4377"/>
    <w:multiLevelType w:val="hybridMultilevel"/>
    <w:tmpl w:val="C352D46E"/>
    <w:lvl w:ilvl="0" w:tplc="FA843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E0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46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4A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A9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F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13330"/>
    <w:multiLevelType w:val="hybridMultilevel"/>
    <w:tmpl w:val="F08CF0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CC"/>
    <w:rsid w:val="004D54CC"/>
    <w:rsid w:val="006733B3"/>
    <w:rsid w:val="006918AA"/>
    <w:rsid w:val="00885A61"/>
    <w:rsid w:val="00AB5088"/>
    <w:rsid w:val="00D6758B"/>
    <w:rsid w:val="00D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C90A"/>
  <w15:chartTrackingRefBased/>
  <w15:docId w15:val="{3253DE1F-F25E-4FB0-B494-A3A0B14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C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4CC"/>
    <w:pPr>
      <w:ind w:left="720"/>
      <w:contextualSpacing/>
    </w:pPr>
  </w:style>
  <w:style w:type="paragraph" w:styleId="Sinespaciado">
    <w:name w:val="No Spacing"/>
    <w:uiPriority w:val="1"/>
    <w:qFormat/>
    <w:rsid w:val="004D54CC"/>
    <w:pPr>
      <w:spacing w:after="0" w:line="240" w:lineRule="auto"/>
    </w:pPr>
    <w:rPr>
      <w:lang w:val="en-GB"/>
    </w:rPr>
  </w:style>
  <w:style w:type="character" w:customStyle="1" w:styleId="eop">
    <w:name w:val="eop"/>
    <w:basedOn w:val="Fuentedeprrafopredeter"/>
    <w:rsid w:val="004D54CC"/>
  </w:style>
  <w:style w:type="paragraph" w:styleId="Encabezado">
    <w:name w:val="header"/>
    <w:basedOn w:val="Normal"/>
    <w:link w:val="EncabezadoCar"/>
    <w:uiPriority w:val="99"/>
    <w:unhideWhenUsed/>
    <w:rsid w:val="00D67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58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67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58B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F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Victor Guillermo Morales Toledo</cp:lastModifiedBy>
  <cp:revision>2</cp:revision>
  <dcterms:created xsi:type="dcterms:W3CDTF">2021-03-16T11:41:00Z</dcterms:created>
  <dcterms:modified xsi:type="dcterms:W3CDTF">2021-03-16T11:41:00Z</dcterms:modified>
</cp:coreProperties>
</file>